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5" w:tblpY="967"/>
        <w:tblW w:w="14737" w:type="dxa"/>
        <w:tblLook w:val="04A0" w:firstRow="1" w:lastRow="0" w:firstColumn="1" w:lastColumn="0" w:noHBand="0" w:noVBand="1"/>
      </w:tblPr>
      <w:tblGrid>
        <w:gridCol w:w="1052"/>
        <w:gridCol w:w="1728"/>
        <w:gridCol w:w="1730"/>
        <w:gridCol w:w="1740"/>
        <w:gridCol w:w="1701"/>
        <w:gridCol w:w="2040"/>
        <w:gridCol w:w="1962"/>
        <w:gridCol w:w="2784"/>
      </w:tblGrid>
      <w:tr w:rsidR="00A26614" w:rsidRPr="00ED3359" w14:paraId="54C75F0D" w14:textId="77777777" w:rsidTr="00025EE2">
        <w:trPr>
          <w:trHeight w:val="552"/>
        </w:trPr>
        <w:tc>
          <w:tcPr>
            <w:tcW w:w="1052" w:type="dxa"/>
          </w:tcPr>
          <w:p w14:paraId="408FBE8C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658DE303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FFCC00"/>
          </w:tcPr>
          <w:p w14:paraId="0F4AE859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1740" w:type="dxa"/>
            <w:shd w:val="clear" w:color="auto" w:fill="FFCC00"/>
          </w:tcPr>
          <w:p w14:paraId="47C05448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1701" w:type="dxa"/>
            <w:shd w:val="clear" w:color="auto" w:fill="00FF00"/>
          </w:tcPr>
          <w:p w14:paraId="386E1F9B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73BF41CA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040" w:type="dxa"/>
            <w:shd w:val="clear" w:color="auto" w:fill="00FF00"/>
          </w:tcPr>
          <w:p w14:paraId="0B4BE357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795D24F1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962" w:type="dxa"/>
            <w:shd w:val="clear" w:color="auto" w:fill="FF00FF"/>
          </w:tcPr>
          <w:p w14:paraId="055F356E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2784" w:type="dxa"/>
            <w:shd w:val="clear" w:color="auto" w:fill="FF00FF"/>
          </w:tcPr>
          <w:p w14:paraId="30916473" w14:textId="77777777" w:rsidR="00A26614" w:rsidRPr="00ED3359" w:rsidRDefault="00A26614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A26614" w:rsidRPr="00ED3359" w14:paraId="56BF8F01" w14:textId="77777777" w:rsidTr="00025EE2">
        <w:trPr>
          <w:trHeight w:val="1548"/>
        </w:trPr>
        <w:tc>
          <w:tcPr>
            <w:tcW w:w="1052" w:type="dxa"/>
            <w:vMerge w:val="restart"/>
          </w:tcPr>
          <w:p w14:paraId="7F96564D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Year Six</w:t>
            </w:r>
          </w:p>
        </w:tc>
        <w:tc>
          <w:tcPr>
            <w:tcW w:w="1728" w:type="dxa"/>
          </w:tcPr>
          <w:p w14:paraId="4579CD58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 w:rsidRPr="00FA2225">
              <w:rPr>
                <w:rFonts w:ascii="Twinkl" w:hAnsi="Twinkl"/>
                <w:sz w:val="14"/>
                <w:szCs w:val="14"/>
              </w:rPr>
              <w:t>Books</w:t>
            </w:r>
          </w:p>
        </w:tc>
        <w:tc>
          <w:tcPr>
            <w:tcW w:w="1730" w:type="dxa"/>
          </w:tcPr>
          <w:p w14:paraId="6CC78F18" w14:textId="77777777" w:rsidR="00A26614" w:rsidRPr="00FA2225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Growing Together </w:t>
            </w:r>
          </w:p>
          <w:p w14:paraId="3EC97BA9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sz w:val="14"/>
                <w:szCs w:val="14"/>
                <w:lang w:val="en-US"/>
              </w:rPr>
              <w:t>The Promise by Nicola Davis</w:t>
            </w:r>
          </w:p>
          <w:p w14:paraId="5299EA9E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u w:val="single"/>
                <w:lang w:val="en-US"/>
              </w:rPr>
            </w:pPr>
          </w:p>
          <w:p w14:paraId="79E92C85" w14:textId="77777777" w:rsidR="00FA2225" w:rsidRPr="00FA2225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</w:t>
            </w:r>
            <w:r w:rsidR="00FA2225" w:rsidRPr="00FA2225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heme: Friendship and Refugee/Asylum </w:t>
            </w:r>
          </w:p>
          <w:p w14:paraId="33737A5C" w14:textId="77777777" w:rsidR="00FA2225" w:rsidRPr="00FA2225" w:rsidRDefault="00FA2225" w:rsidP="0046517E">
            <w:pPr>
              <w:rPr>
                <w:rFonts w:ascii="Twinkl" w:hAnsi="Twinkl"/>
                <w:sz w:val="14"/>
                <w:szCs w:val="14"/>
                <w:u w:val="single"/>
                <w:lang w:val="en-US"/>
              </w:rPr>
            </w:pPr>
          </w:p>
          <w:p w14:paraId="75CAA2A3" w14:textId="0AC144A7" w:rsidR="00A26614" w:rsidRPr="00FA2225" w:rsidRDefault="00FA2225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sz w:val="14"/>
                <w:szCs w:val="14"/>
                <w:lang w:val="en-US"/>
              </w:rPr>
              <w:t>T</w:t>
            </w:r>
            <w:r w:rsidR="00A26614" w:rsidRPr="00FA2225">
              <w:rPr>
                <w:rFonts w:ascii="Twinkl" w:hAnsi="Twinkl"/>
                <w:sz w:val="14"/>
                <w:szCs w:val="14"/>
                <w:lang w:val="en-US"/>
              </w:rPr>
              <w:t>he Boy at the back of the Class</w:t>
            </w:r>
          </w:p>
          <w:p w14:paraId="79CE2EFD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5ED8FC6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lang w:val="en-US"/>
              </w:rPr>
              <w:t>Roald Dahl Week:</w:t>
            </w:r>
            <w:r w:rsidRPr="00FA2225">
              <w:rPr>
                <w:rFonts w:ascii="Twinkl" w:hAnsi="Twinkl"/>
                <w:sz w:val="14"/>
                <w:szCs w:val="14"/>
                <w:lang w:val="en-US"/>
              </w:rPr>
              <w:t xml:space="preserve"> Charlie and the Chocolate Factory</w:t>
            </w:r>
          </w:p>
          <w:p w14:paraId="35B1A67A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lang w:val="en-US"/>
              </w:rPr>
              <w:t>Poetry Week:</w:t>
            </w:r>
            <w:r w:rsidRPr="00FA2225">
              <w:rPr>
                <w:rFonts w:ascii="Twinkl" w:hAnsi="Twinkl"/>
                <w:sz w:val="14"/>
                <w:szCs w:val="14"/>
                <w:lang w:val="en-US"/>
              </w:rPr>
              <w:t xml:space="preserve"> Ted Hughes poetry collection</w:t>
            </w:r>
          </w:p>
          <w:p w14:paraId="0CB8E7DB" w14:textId="77777777" w:rsidR="00FA2225" w:rsidRPr="00FA2225" w:rsidRDefault="00FA2225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7E9B228" w14:textId="650053C7" w:rsidR="00FA2225" w:rsidRDefault="00FA2225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Class reader (Theme: Autism/individual differences: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Can you see me? Libby Scott and Rebecca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Wescott</w:t>
            </w:r>
            <w:proofErr w:type="spellEnd"/>
          </w:p>
          <w:p w14:paraId="1A494982" w14:textId="77777777" w:rsidR="00FA2225" w:rsidRPr="00FA2225" w:rsidRDefault="00FA2225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</w:p>
          <w:p w14:paraId="7B4C606C" w14:textId="5DB2FB9C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lang w:val="en-US"/>
              </w:rPr>
              <w:t>Black History Month</w:t>
            </w:r>
            <w:r w:rsidRPr="00FA2225">
              <w:rPr>
                <w:rFonts w:ascii="Twinkl" w:hAnsi="Twinkl"/>
                <w:sz w:val="14"/>
                <w:szCs w:val="14"/>
                <w:lang w:val="en-US"/>
              </w:rPr>
              <w:t xml:space="preserve">: High Rise Mystery by </w:t>
            </w:r>
            <w:proofErr w:type="spellStart"/>
            <w:r w:rsidRPr="00FA2225">
              <w:rPr>
                <w:rFonts w:ascii="Twinkl" w:hAnsi="Twinkl"/>
                <w:sz w:val="14"/>
                <w:szCs w:val="14"/>
                <w:lang w:val="en-US"/>
              </w:rPr>
              <w:t>Sharna</w:t>
            </w:r>
            <w:proofErr w:type="spellEnd"/>
            <w:r w:rsidRPr="00FA2225">
              <w:rPr>
                <w:rFonts w:ascii="Twinkl" w:hAnsi="Twinkl"/>
                <w:sz w:val="14"/>
                <w:szCs w:val="14"/>
                <w:lang w:val="en-US"/>
              </w:rPr>
              <w:t xml:space="preserve"> Jackson</w:t>
            </w:r>
          </w:p>
          <w:p w14:paraId="5F9BCC96" w14:textId="77777777" w:rsidR="008A18FE" w:rsidRDefault="008A18F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7047473" w14:textId="00F45771" w:rsidR="008A18FE" w:rsidRPr="00FA2225" w:rsidRDefault="008A18F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Tall Story by Candy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Gourlay</w:t>
            </w:r>
            <w:proofErr w:type="spellEnd"/>
          </w:p>
          <w:p w14:paraId="3C1C01BA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97B0507" w14:textId="77777777" w:rsidR="00A26614" w:rsidRPr="00FA2225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</w:tc>
        <w:tc>
          <w:tcPr>
            <w:tcW w:w="1740" w:type="dxa"/>
          </w:tcPr>
          <w:p w14:paraId="4C225F4D" w14:textId="77777777" w:rsidR="00FA2225" w:rsidRDefault="00FA2225" w:rsidP="00FA2225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FA2225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Friendship and Refugee/Asylum </w:t>
            </w:r>
          </w:p>
          <w:p w14:paraId="5DAEE3E3" w14:textId="77777777" w:rsidR="00FA2225" w:rsidRPr="00FA2225" w:rsidRDefault="00FA2225" w:rsidP="00FA2225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19697048" w14:textId="77777777" w:rsidR="00FA2225" w:rsidRDefault="00FA2225" w:rsidP="00FA2225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T</w:t>
            </w:r>
            <w:r w:rsidRPr="000411DD">
              <w:rPr>
                <w:rFonts w:ascii="Twinkl" w:hAnsi="Twinkl"/>
                <w:sz w:val="14"/>
                <w:szCs w:val="14"/>
                <w:lang w:val="en-US"/>
              </w:rPr>
              <w:t>he Boy at the back of the Class</w:t>
            </w:r>
          </w:p>
          <w:p w14:paraId="4FF30B18" w14:textId="77777777" w:rsidR="00FA2225" w:rsidRDefault="00FA2225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019CA8D6" w14:textId="77777777" w:rsidR="00FA2225" w:rsidRDefault="00FA2225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 WW1/WW2</w:t>
            </w:r>
          </w:p>
          <w:p w14:paraId="7205BD68" w14:textId="481AD1A6" w:rsidR="00FA2225" w:rsidRPr="00FA2225" w:rsidRDefault="00FA2225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A2225">
              <w:rPr>
                <w:rFonts w:ascii="Twinkl" w:hAnsi="Twinkl"/>
                <w:sz w:val="14"/>
                <w:szCs w:val="14"/>
                <w:lang w:val="en-US"/>
              </w:rPr>
              <w:t>E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xtracts from War Horse and The boy in the striped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pyjamas</w:t>
            </w:r>
            <w:proofErr w:type="spellEnd"/>
          </w:p>
          <w:p w14:paraId="39FD7947" w14:textId="77777777" w:rsidR="00FA2225" w:rsidRDefault="00FA2225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4BB2ABD0" w14:textId="77777777" w:rsidR="00A26614" w:rsidRPr="004C64B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6B6B01E" w14:textId="77777777" w:rsidR="00FA2225" w:rsidRDefault="00FA2225" w:rsidP="00FA2225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Class reader (Theme: Autism/individual differences: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Can you see me? Libby Scott and Rebecca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Wescott</w:t>
            </w:r>
            <w:proofErr w:type="spellEnd"/>
          </w:p>
          <w:p w14:paraId="1A4F053F" w14:textId="77777777" w:rsidR="00FA2225" w:rsidRDefault="00FA2225" w:rsidP="00FA2225">
            <w:pPr>
              <w:rPr>
                <w:rFonts w:ascii="Twinkl" w:hAnsi="Twinkl"/>
                <w:sz w:val="14"/>
                <w:szCs w:val="14"/>
              </w:rPr>
            </w:pPr>
          </w:p>
          <w:p w14:paraId="6488F3C9" w14:textId="77777777" w:rsidR="00FA2225" w:rsidRDefault="00FA2225" w:rsidP="00FA2225">
            <w:pPr>
              <w:rPr>
                <w:rFonts w:ascii="Twinkl" w:hAnsi="Twinkl"/>
                <w:sz w:val="14"/>
                <w:szCs w:val="14"/>
              </w:rPr>
            </w:pPr>
          </w:p>
          <w:p w14:paraId="74FD652C" w14:textId="698F51CD" w:rsidR="00FA2225" w:rsidRPr="004C64BE" w:rsidRDefault="00FA2225" w:rsidP="00FA2225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F0A9F">
              <w:rPr>
                <w:rFonts w:ascii="Twinkl" w:hAnsi="Twinkl"/>
                <w:b/>
                <w:sz w:val="14"/>
                <w:szCs w:val="14"/>
                <w:lang w:val="en-US"/>
              </w:rPr>
              <w:t>Black History Month:</w:t>
            </w:r>
            <w:r w:rsidRPr="007F0A9F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A Glasshouse of Stars by Shirley Marr</w:t>
            </w:r>
          </w:p>
          <w:p w14:paraId="70CC64AA" w14:textId="11DA5FDF" w:rsidR="00FA2225" w:rsidRPr="00ED3359" w:rsidRDefault="00FA2225" w:rsidP="00FA2225">
            <w:pPr>
              <w:rPr>
                <w:rFonts w:ascii="Twinkl" w:hAnsi="Twink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C3EB4DB" w14:textId="77777777" w:rsidR="00A26614" w:rsidRPr="00470D5D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470D5D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Resilience </w:t>
            </w:r>
          </w:p>
          <w:p w14:paraId="3CAD335D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 w:rsidRPr="00DD1874">
              <w:rPr>
                <w:rFonts w:ascii="Twinkl" w:hAnsi="Twinkl"/>
                <w:sz w:val="14"/>
                <w:szCs w:val="14"/>
              </w:rPr>
              <w:t xml:space="preserve">Kensuke’s Kingdom by Michael </w:t>
            </w:r>
            <w:proofErr w:type="spellStart"/>
            <w:r w:rsidRPr="00DD1874">
              <w:rPr>
                <w:rFonts w:ascii="Twinkl" w:hAnsi="Twinkl"/>
                <w:sz w:val="14"/>
                <w:szCs w:val="14"/>
              </w:rPr>
              <w:t>Morpurgo</w:t>
            </w:r>
            <w:proofErr w:type="spellEnd"/>
            <w:r w:rsidRPr="00DD1874"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6E6AA49A" w14:textId="77777777" w:rsidR="00FA2225" w:rsidRPr="00DD1874" w:rsidRDefault="00FA2225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B984FB9" w14:textId="15533F0B" w:rsidR="00A26614" w:rsidRPr="00DD1874" w:rsidRDefault="00FA2225" w:rsidP="0046517E">
            <w:pPr>
              <w:rPr>
                <w:rFonts w:ascii="Twinkl" w:hAnsi="Twinkl"/>
                <w:sz w:val="14"/>
                <w:szCs w:val="14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</w:rPr>
              <w:t>Class reader: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A26614" w:rsidRPr="00DD1874">
              <w:rPr>
                <w:rFonts w:ascii="Twinkl" w:hAnsi="Twinkl"/>
                <w:sz w:val="14"/>
                <w:szCs w:val="14"/>
              </w:rPr>
              <w:t>The Nowhere Emporium: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A26614" w:rsidRPr="00DD1874">
              <w:rPr>
                <w:rFonts w:ascii="Twinkl" w:hAnsi="Twinkl"/>
                <w:sz w:val="14"/>
                <w:szCs w:val="14"/>
              </w:rPr>
              <w:t>Rosa Mackenzie</w:t>
            </w:r>
          </w:p>
          <w:p w14:paraId="5432B3DF" w14:textId="77777777" w:rsidR="00025EE2" w:rsidRDefault="00025EE2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2F7B216E" w14:textId="77777777" w:rsidR="00025EE2" w:rsidRDefault="00025EE2" w:rsidP="00025EE2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550EC7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Fantasy Worlds </w:t>
            </w:r>
          </w:p>
          <w:p w14:paraId="21BE514E" w14:textId="77777777" w:rsidR="00025EE2" w:rsidRDefault="00025EE2" w:rsidP="00025EE2">
            <w:pPr>
              <w:rPr>
                <w:rFonts w:ascii="Twinkl" w:hAnsi="Twinkl"/>
                <w:sz w:val="14"/>
                <w:szCs w:val="14"/>
              </w:rPr>
            </w:pPr>
            <w:r w:rsidRPr="00CB1379">
              <w:rPr>
                <w:rFonts w:ascii="Twinkl" w:hAnsi="Twinkl"/>
                <w:sz w:val="14"/>
                <w:szCs w:val="14"/>
              </w:rPr>
              <w:t>Pandora (Liter</w:t>
            </w:r>
            <w:r>
              <w:rPr>
                <w:rFonts w:ascii="Twinkl" w:hAnsi="Twinkl"/>
                <w:sz w:val="14"/>
                <w:szCs w:val="14"/>
              </w:rPr>
              <w:t>acy Shed)</w:t>
            </w:r>
          </w:p>
          <w:p w14:paraId="5BA3A198" w14:textId="77777777" w:rsidR="00025EE2" w:rsidRDefault="00025EE2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00503CF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B700C5D" w14:textId="3A7B9F32" w:rsidR="00A26614" w:rsidRPr="00DD1874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 w:rsidRPr="00B26FD7">
              <w:rPr>
                <w:rFonts w:ascii="Twinkl" w:hAnsi="Twinkl"/>
                <w:b/>
                <w:sz w:val="14"/>
                <w:szCs w:val="14"/>
              </w:rPr>
              <w:t>Poetry Week:</w:t>
            </w:r>
            <w:r w:rsidR="00FA2225">
              <w:rPr>
                <w:rFonts w:ascii="Twinkl" w:hAnsi="Twinkl"/>
                <w:sz w:val="14"/>
                <w:szCs w:val="14"/>
              </w:rPr>
              <w:t xml:space="preserve"> The </w:t>
            </w:r>
            <w:proofErr w:type="spellStart"/>
            <w:r w:rsidR="00FA2225">
              <w:rPr>
                <w:rFonts w:ascii="Twinkl" w:hAnsi="Twinkl"/>
                <w:sz w:val="14"/>
                <w:szCs w:val="14"/>
              </w:rPr>
              <w:t>Tyger</w:t>
            </w:r>
            <w:proofErr w:type="spellEnd"/>
            <w:r w:rsidR="00FA2225">
              <w:rPr>
                <w:rFonts w:ascii="Twinkl" w:hAnsi="Twinkl"/>
                <w:sz w:val="14"/>
                <w:szCs w:val="14"/>
              </w:rPr>
              <w:t xml:space="preserve"> by Willia</w:t>
            </w:r>
            <w:r>
              <w:rPr>
                <w:rFonts w:ascii="Twinkl" w:hAnsi="Twinkl"/>
                <w:sz w:val="14"/>
                <w:szCs w:val="14"/>
              </w:rPr>
              <w:t xml:space="preserve">m Blake </w:t>
            </w:r>
          </w:p>
          <w:p w14:paraId="449748C4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40" w:type="dxa"/>
          </w:tcPr>
          <w:p w14:paraId="7BE43182" w14:textId="77777777" w:rsidR="00FA2225" w:rsidRPr="00470D5D" w:rsidRDefault="00FA2225" w:rsidP="00FA2225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470D5D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Resilience </w:t>
            </w:r>
          </w:p>
          <w:p w14:paraId="7C4C3000" w14:textId="77777777" w:rsidR="00FA2225" w:rsidRDefault="00FA2225" w:rsidP="00FA2225">
            <w:pPr>
              <w:rPr>
                <w:rFonts w:ascii="Twinkl" w:hAnsi="Twinkl"/>
                <w:sz w:val="14"/>
                <w:szCs w:val="14"/>
              </w:rPr>
            </w:pPr>
            <w:r w:rsidRPr="00DD1874">
              <w:rPr>
                <w:rFonts w:ascii="Twinkl" w:hAnsi="Twinkl"/>
                <w:sz w:val="14"/>
                <w:szCs w:val="14"/>
              </w:rPr>
              <w:t xml:space="preserve">Kensuke’s Kingdom by Michael </w:t>
            </w:r>
            <w:proofErr w:type="spellStart"/>
            <w:r w:rsidRPr="00DD1874">
              <w:rPr>
                <w:rFonts w:ascii="Twinkl" w:hAnsi="Twinkl"/>
                <w:sz w:val="14"/>
                <w:szCs w:val="14"/>
              </w:rPr>
              <w:t>Morpurgo</w:t>
            </w:r>
            <w:proofErr w:type="spellEnd"/>
            <w:r w:rsidRPr="00DD1874"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4E6C44AB" w14:textId="77777777" w:rsidR="00FA2225" w:rsidRDefault="00FA2225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2A93427E" w14:textId="77777777" w:rsidR="00FA2225" w:rsidRDefault="00FA2225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72797FCD" w14:textId="77777777" w:rsidR="00025EE2" w:rsidRPr="00025EE2" w:rsidRDefault="00025EE2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  <w:u w:val="single"/>
              </w:rPr>
              <w:t>Theme: Refugee/Asylum</w:t>
            </w:r>
          </w:p>
          <w:p w14:paraId="5DCE407C" w14:textId="77777777" w:rsidR="00025EE2" w:rsidRDefault="00025EE2" w:rsidP="00025EE2">
            <w:pPr>
              <w:rPr>
                <w:rFonts w:ascii="Twinkl" w:hAnsi="Twinkl"/>
                <w:sz w:val="14"/>
                <w:szCs w:val="14"/>
              </w:rPr>
            </w:pPr>
            <w:r w:rsidRPr="00DD1874">
              <w:rPr>
                <w:rFonts w:ascii="Twinkl" w:hAnsi="Twinkl"/>
                <w:sz w:val="14"/>
                <w:szCs w:val="14"/>
              </w:rPr>
              <w:t xml:space="preserve">The Journey by Francesca </w:t>
            </w:r>
            <w:proofErr w:type="spellStart"/>
            <w:r w:rsidRPr="00DD1874">
              <w:rPr>
                <w:rFonts w:ascii="Twinkl" w:hAnsi="Twinkl"/>
                <w:sz w:val="14"/>
                <w:szCs w:val="14"/>
              </w:rPr>
              <w:t>Sanna</w:t>
            </w:r>
            <w:proofErr w:type="spellEnd"/>
          </w:p>
          <w:p w14:paraId="3A28CF50" w14:textId="77777777" w:rsidR="00025EE2" w:rsidRPr="00CB1379" w:rsidRDefault="00025EE2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88DB621" w14:textId="109F1AD6" w:rsidR="00A26614" w:rsidRDefault="00025EE2" w:rsidP="0046517E">
            <w:pPr>
              <w:rPr>
                <w:rFonts w:ascii="Twinkl" w:hAnsi="Twinkl"/>
                <w:sz w:val="14"/>
                <w:szCs w:val="14"/>
              </w:rPr>
            </w:pPr>
            <w:r w:rsidRPr="00025EE2">
              <w:rPr>
                <w:rFonts w:ascii="Twinkl" w:hAnsi="Twinkl"/>
                <w:sz w:val="14"/>
                <w:szCs w:val="14"/>
                <w:u w:val="single"/>
              </w:rPr>
              <w:t>Persuasive writing: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A26614" w:rsidRPr="00CB1379">
              <w:rPr>
                <w:rFonts w:ascii="Twinkl" w:hAnsi="Twinkl"/>
                <w:sz w:val="14"/>
                <w:szCs w:val="14"/>
              </w:rPr>
              <w:t xml:space="preserve">The Day the Crayons Quit by Drew </w:t>
            </w:r>
            <w:proofErr w:type="spellStart"/>
            <w:r w:rsidR="00A26614" w:rsidRPr="00CB1379">
              <w:rPr>
                <w:rFonts w:ascii="Twinkl" w:hAnsi="Twinkl"/>
                <w:sz w:val="14"/>
                <w:szCs w:val="14"/>
              </w:rPr>
              <w:t>Daywalt</w:t>
            </w:r>
            <w:proofErr w:type="spellEnd"/>
          </w:p>
          <w:p w14:paraId="0F90BC80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E9C29EE" w14:textId="77777777" w:rsidR="00A26614" w:rsidRPr="00F81112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F81112">
              <w:rPr>
                <w:rFonts w:ascii="Twinkl" w:hAnsi="Twinkl"/>
                <w:b/>
                <w:sz w:val="14"/>
                <w:szCs w:val="14"/>
                <w:u w:val="single"/>
              </w:rPr>
              <w:t>Theme: Environmental Issues</w:t>
            </w:r>
          </w:p>
          <w:p w14:paraId="0801687B" w14:textId="77777777" w:rsidR="00A26614" w:rsidRPr="00F81112" w:rsidRDefault="00A26614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F81112">
              <w:rPr>
                <w:rFonts w:ascii="Twinkl" w:hAnsi="Twinkl"/>
                <w:sz w:val="14"/>
                <w:szCs w:val="14"/>
              </w:rPr>
              <w:t xml:space="preserve">Leaf by </w:t>
            </w:r>
            <w:r w:rsidRPr="00F81112">
              <w:rPr>
                <w:rFonts w:ascii="Twinkl" w:hAnsi="Twinkl"/>
                <w:sz w:val="14"/>
                <w:szCs w:val="14"/>
                <w:lang w:val="en-US"/>
              </w:rPr>
              <w:t xml:space="preserve">Sandra </w:t>
            </w:r>
            <w:proofErr w:type="spellStart"/>
            <w:r w:rsidRPr="00F81112">
              <w:rPr>
                <w:rFonts w:ascii="Twinkl" w:hAnsi="Twinkl"/>
                <w:sz w:val="14"/>
                <w:szCs w:val="14"/>
                <w:lang w:val="en-US"/>
              </w:rPr>
              <w:t>Dieckmann</w:t>
            </w:r>
            <w:proofErr w:type="spellEnd"/>
          </w:p>
          <w:p w14:paraId="3911E211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62" w:type="dxa"/>
          </w:tcPr>
          <w:p w14:paraId="7E1A8688" w14:textId="77777777" w:rsidR="00A26614" w:rsidRPr="007C39A8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7C39A8">
              <w:rPr>
                <w:rFonts w:ascii="Twinkl" w:hAnsi="Twinkl"/>
                <w:b/>
                <w:sz w:val="14"/>
                <w:szCs w:val="14"/>
                <w:u w:val="single"/>
              </w:rPr>
              <w:t>Theme: Family</w:t>
            </w:r>
          </w:p>
          <w:p w14:paraId="5AA7FFDF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 w:rsidRPr="007C39A8">
              <w:rPr>
                <w:rFonts w:ascii="Twinkl" w:hAnsi="Twinkl"/>
                <w:sz w:val="14"/>
                <w:szCs w:val="14"/>
              </w:rPr>
              <w:t xml:space="preserve">Tuesday by David </w:t>
            </w:r>
            <w:proofErr w:type="spellStart"/>
            <w:r w:rsidRPr="007C39A8">
              <w:rPr>
                <w:rFonts w:ascii="Twinkl" w:hAnsi="Twinkl"/>
                <w:sz w:val="14"/>
                <w:szCs w:val="14"/>
              </w:rPr>
              <w:t>Wiesner</w:t>
            </w:r>
            <w:proofErr w:type="spellEnd"/>
          </w:p>
          <w:p w14:paraId="7A100093" w14:textId="77777777" w:rsidR="00A26614" w:rsidRPr="007C39A8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2F2FD30" w14:textId="7A08AB57" w:rsidR="00A26614" w:rsidRDefault="00025EE2" w:rsidP="0046517E">
            <w:pPr>
              <w:rPr>
                <w:rFonts w:ascii="Twinkl" w:hAnsi="Twinkl"/>
                <w:sz w:val="14"/>
                <w:szCs w:val="14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</w:rPr>
              <w:t>Class readers: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A26614">
              <w:rPr>
                <w:rFonts w:ascii="Twinkl" w:hAnsi="Twinkl"/>
                <w:sz w:val="14"/>
                <w:szCs w:val="14"/>
              </w:rPr>
              <w:t>The Journey to</w:t>
            </w:r>
            <w:r w:rsidR="00A26614" w:rsidRPr="00665D9D">
              <w:rPr>
                <w:rFonts w:ascii="Twinkl" w:hAnsi="Twinkl"/>
                <w:sz w:val="14"/>
                <w:szCs w:val="14"/>
              </w:rPr>
              <w:t xml:space="preserve"> the River </w:t>
            </w:r>
            <w:r w:rsidR="00A26614">
              <w:rPr>
                <w:rFonts w:ascii="Twinkl" w:hAnsi="Twinkl"/>
                <w:sz w:val="14"/>
                <w:szCs w:val="14"/>
              </w:rPr>
              <w:t xml:space="preserve">Sea by Eva Ibbotson </w:t>
            </w:r>
          </w:p>
          <w:p w14:paraId="0B68F1DA" w14:textId="77777777" w:rsidR="00025EE2" w:rsidRDefault="00025EE2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412EF7E" w14:textId="757A908F" w:rsidR="00025EE2" w:rsidRDefault="00025EE2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Front Desk by Kelly Yang</w:t>
            </w:r>
          </w:p>
          <w:p w14:paraId="4EE808F5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6AC75C6" w14:textId="77777777" w:rsidR="00A26614" w:rsidRPr="006F13C8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  <w:u w:val="single"/>
              </w:rPr>
              <w:t>Poetry Week</w:t>
            </w:r>
            <w:r w:rsidRPr="006F13C8">
              <w:rPr>
                <w:rFonts w:ascii="Twinkl" w:hAnsi="Twinkl"/>
                <w:b/>
                <w:sz w:val="14"/>
                <w:szCs w:val="14"/>
              </w:rPr>
              <w:t xml:space="preserve">: </w:t>
            </w:r>
            <w:r w:rsidRPr="006C09B9">
              <w:rPr>
                <w:rFonts w:ascii="Twinkl" w:hAnsi="Twinkl"/>
                <w:sz w:val="14"/>
                <w:szCs w:val="14"/>
              </w:rPr>
              <w:t>Hot Like Fire by Valerie Bloom</w:t>
            </w:r>
          </w:p>
        </w:tc>
        <w:tc>
          <w:tcPr>
            <w:tcW w:w="2784" w:type="dxa"/>
          </w:tcPr>
          <w:p w14:paraId="33958FAF" w14:textId="77777777" w:rsidR="00025EE2" w:rsidRPr="00025EE2" w:rsidRDefault="00025EE2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 Mayans</w:t>
            </w:r>
          </w:p>
          <w:p w14:paraId="4C8CD04E" w14:textId="51201275" w:rsidR="00025EE2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The Curse of the Maya</w:t>
            </w:r>
          </w:p>
          <w:p w14:paraId="050592BB" w14:textId="77777777" w:rsidR="00025EE2" w:rsidRDefault="00025EE2" w:rsidP="00025EE2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E0BF133" w14:textId="41DABB78" w:rsidR="00025EE2" w:rsidRPr="00025EE2" w:rsidRDefault="00025EE2" w:rsidP="00025EE2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25EE2">
              <w:rPr>
                <w:rFonts w:ascii="Twinkl" w:hAnsi="Twinkl"/>
                <w:sz w:val="14"/>
                <w:szCs w:val="14"/>
                <w:lang w:val="en-US"/>
              </w:rPr>
              <w:t>Mayan Civilization (The History Detective Investigates)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by Clare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Hibbert</w:t>
            </w:r>
            <w:proofErr w:type="spellEnd"/>
          </w:p>
          <w:p w14:paraId="5F3CA756" w14:textId="77777777" w:rsidR="00025EE2" w:rsidRPr="007C39A8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1042379" w14:textId="77777777" w:rsidR="00025EE2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3A8DFD0" w14:textId="42D54947" w:rsidR="00025EE2" w:rsidRDefault="00025EE2" w:rsidP="00025EE2">
            <w:pPr>
              <w:rPr>
                <w:rFonts w:ascii="Twinkl" w:hAnsi="Twinkl"/>
                <w:sz w:val="14"/>
                <w:szCs w:val="14"/>
              </w:rPr>
            </w:pPr>
            <w:r w:rsidRPr="00025EE2">
              <w:rPr>
                <w:rFonts w:ascii="Twinkl" w:hAnsi="Twinkl"/>
                <w:b/>
                <w:sz w:val="14"/>
                <w:szCs w:val="14"/>
              </w:rPr>
              <w:t>Class reader</w:t>
            </w:r>
            <w:r>
              <w:rPr>
                <w:rFonts w:ascii="Twinkl" w:hAnsi="Twinkl"/>
                <w:b/>
                <w:sz w:val="14"/>
                <w:szCs w:val="14"/>
              </w:rPr>
              <w:t>s</w:t>
            </w:r>
            <w:r w:rsidRPr="00025EE2">
              <w:rPr>
                <w:rFonts w:ascii="Twinkl" w:hAnsi="Twinkl"/>
                <w:b/>
                <w:sz w:val="14"/>
                <w:szCs w:val="14"/>
              </w:rPr>
              <w:t>:</w:t>
            </w:r>
            <w:r>
              <w:rPr>
                <w:rFonts w:ascii="Twinkl" w:hAnsi="Twinkl"/>
                <w:sz w:val="14"/>
                <w:szCs w:val="14"/>
              </w:rPr>
              <w:t xml:space="preserve"> The Journey to</w:t>
            </w:r>
            <w:r w:rsidRPr="00665D9D">
              <w:rPr>
                <w:rFonts w:ascii="Twinkl" w:hAnsi="Twinkl"/>
                <w:sz w:val="14"/>
                <w:szCs w:val="14"/>
              </w:rPr>
              <w:t xml:space="preserve"> the River </w:t>
            </w:r>
            <w:r>
              <w:rPr>
                <w:rFonts w:ascii="Twinkl" w:hAnsi="Twinkl"/>
                <w:sz w:val="14"/>
                <w:szCs w:val="14"/>
              </w:rPr>
              <w:t xml:space="preserve">Sea by Eva Ibbotson </w:t>
            </w:r>
          </w:p>
          <w:p w14:paraId="76D1B531" w14:textId="77777777" w:rsidR="00025EE2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62109A4" w14:textId="1E23D204" w:rsidR="00025EE2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Look both ways by Jason Reynolds</w:t>
            </w:r>
          </w:p>
          <w:p w14:paraId="39A2304D" w14:textId="77777777" w:rsidR="00025EE2" w:rsidRDefault="00025EE2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EFF60E9" w14:textId="77777777" w:rsidR="00A26614" w:rsidRPr="007C39A8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C39A8">
              <w:rPr>
                <w:rFonts w:ascii="Twinkl" w:hAnsi="Twinkl"/>
                <w:sz w:val="14"/>
                <w:szCs w:val="14"/>
                <w:lang w:val="en-US"/>
              </w:rPr>
              <w:t xml:space="preserve">Of Lions and Unicorns by Michael </w:t>
            </w:r>
            <w:proofErr w:type="spellStart"/>
            <w:r w:rsidRPr="007C39A8">
              <w:rPr>
                <w:rFonts w:ascii="Twinkl" w:hAnsi="Twinkl"/>
                <w:sz w:val="14"/>
                <w:szCs w:val="14"/>
                <w:lang w:val="en-US"/>
              </w:rPr>
              <w:t>Morpurgo</w:t>
            </w:r>
            <w:proofErr w:type="spellEnd"/>
            <w:r w:rsidRPr="007C39A8">
              <w:rPr>
                <w:rFonts w:ascii="Twinkl" w:hAnsi="Twinkl"/>
                <w:sz w:val="14"/>
                <w:szCs w:val="14"/>
                <w:lang w:val="en-US"/>
              </w:rPr>
              <w:t xml:space="preserve"> (short stories)</w:t>
            </w:r>
          </w:p>
          <w:p w14:paraId="0635BDD0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A26614" w:rsidRPr="00ED3359" w14:paraId="22868C90" w14:textId="77777777" w:rsidTr="00025EE2">
        <w:trPr>
          <w:trHeight w:val="506"/>
        </w:trPr>
        <w:tc>
          <w:tcPr>
            <w:tcW w:w="1052" w:type="dxa"/>
            <w:vMerge/>
          </w:tcPr>
          <w:p w14:paraId="0DDE0D48" w14:textId="0BB605AB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728" w:type="dxa"/>
          </w:tcPr>
          <w:p w14:paraId="1AB0368F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7529D6A6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1957" w:type="dxa"/>
            <w:gridSpan w:val="6"/>
          </w:tcPr>
          <w:p w14:paraId="611CA22D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For children working towards the expected standard w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e use PM Benchmarking to assess the children’s word reading and comprehension ability. Children are then given Oxford Reading Tree Reading books to match </w:t>
            </w:r>
            <w:r>
              <w:rPr>
                <w:rFonts w:ascii="Twinkl" w:hAnsi="Twinkl"/>
                <w:sz w:val="14"/>
                <w:szCs w:val="14"/>
              </w:rPr>
              <w:t>their ability. All children’s reading ability is assessed by using SATS reading papers.  We promote reading for pleasure and children have a free choice of books to take home.</w:t>
            </w:r>
          </w:p>
        </w:tc>
      </w:tr>
      <w:tr w:rsidR="00A26614" w:rsidRPr="00ED3359" w14:paraId="68EAEA95" w14:textId="77777777" w:rsidTr="00025EE2">
        <w:trPr>
          <w:trHeight w:val="519"/>
        </w:trPr>
        <w:tc>
          <w:tcPr>
            <w:tcW w:w="1052" w:type="dxa"/>
            <w:vMerge/>
          </w:tcPr>
          <w:p w14:paraId="1ECB3F97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76533E12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Destination Reader</w:t>
            </w:r>
          </w:p>
        </w:tc>
        <w:tc>
          <w:tcPr>
            <w:tcW w:w="11957" w:type="dxa"/>
            <w:gridSpan w:val="6"/>
          </w:tcPr>
          <w:p w14:paraId="72813DE9" w14:textId="77777777" w:rsidR="00A26614" w:rsidRPr="005443DD" w:rsidRDefault="00A26614" w:rsidP="0046517E">
            <w:pPr>
              <w:rPr>
                <w:rFonts w:ascii="Twinkl" w:hAnsi="Twinkl"/>
                <w:sz w:val="15"/>
                <w:szCs w:val="15"/>
                <w:lang w:val="en-US"/>
              </w:rPr>
            </w:pPr>
            <w:r w:rsidRPr="001E4694">
              <w:rPr>
                <w:rFonts w:ascii="Twinkl" w:hAnsi="Twinkl"/>
                <w:sz w:val="14"/>
                <w:szCs w:val="14"/>
              </w:rPr>
              <w:t>Destination Reader allows children to access real books of a high quality that are engaging and exciting. As talk is made central, partner reading is continued and children are given ample opportunities to discuss books with their partners.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Children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practis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e</w:t>
            </w:r>
            <w:proofErr w:type="spellEnd"/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 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seven key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skills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identifies within the national curriculum to support the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reading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and understanding of a wide range of texts.</w:t>
            </w: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 The skills are: </w:t>
            </w:r>
          </w:p>
          <w:p w14:paraId="6330F9C5" w14:textId="77777777" w:rsidR="00A26614" w:rsidRPr="00082FB4" w:rsidRDefault="00A26614" w:rsidP="0046517E">
            <w:pPr>
              <w:rPr>
                <w:rFonts w:ascii="Twinkl" w:hAnsi="Twinkl"/>
                <w:sz w:val="15"/>
                <w:szCs w:val="15"/>
                <w:lang w:val="en-US"/>
              </w:rPr>
            </w:pP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predicting, making connections, asking questions, evaluating, inferring, </w:t>
            </w:r>
            <w:proofErr w:type="spellStart"/>
            <w:r>
              <w:rPr>
                <w:rFonts w:ascii="Twinkl" w:hAnsi="Twinkl"/>
                <w:sz w:val="15"/>
                <w:szCs w:val="15"/>
                <w:lang w:val="en-US"/>
              </w:rPr>
              <w:t>summarising</w:t>
            </w:r>
            <w:proofErr w:type="spellEnd"/>
            <w:r>
              <w:rPr>
                <w:rFonts w:ascii="Twinkl" w:hAnsi="Twinkl"/>
                <w:sz w:val="15"/>
                <w:szCs w:val="15"/>
                <w:lang w:val="en-US"/>
              </w:rPr>
              <w:t>, c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larifying.</w:t>
            </w:r>
          </w:p>
        </w:tc>
      </w:tr>
      <w:tr w:rsidR="00A26614" w:rsidRPr="00ED3359" w14:paraId="6FF4199A" w14:textId="77777777" w:rsidTr="00025EE2">
        <w:trPr>
          <w:trHeight w:val="478"/>
        </w:trPr>
        <w:tc>
          <w:tcPr>
            <w:tcW w:w="1052" w:type="dxa"/>
            <w:vMerge/>
          </w:tcPr>
          <w:p w14:paraId="1736452D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18088A2B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ting (Transcription-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Spelling)</w:t>
            </w:r>
          </w:p>
        </w:tc>
        <w:tc>
          <w:tcPr>
            <w:tcW w:w="1730" w:type="dxa"/>
          </w:tcPr>
          <w:p w14:paraId="1AA95DA7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Revision of work done in previous years</w:t>
            </w:r>
          </w:p>
          <w:p w14:paraId="6E7A94D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FAC5597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B0762">
              <w:rPr>
                <w:rFonts w:ascii="Twinkl" w:hAnsi="Twinkl"/>
                <w:sz w:val="14"/>
                <w:szCs w:val="14"/>
                <w:lang w:val="en-US"/>
              </w:rPr>
              <w:t xml:space="preserve">use dictionaries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to check spellings and meanings of words </w:t>
            </w:r>
          </w:p>
          <w:p w14:paraId="415C7445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2E562FF" w14:textId="77777777" w:rsidR="00A26614" w:rsidRPr="00DB0762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use </w:t>
            </w:r>
            <w:r w:rsidRPr="00DB0762">
              <w:rPr>
                <w:rFonts w:ascii="Twinkl" w:hAnsi="Twinkl"/>
                <w:sz w:val="14"/>
                <w:szCs w:val="14"/>
                <w:lang w:val="en-US"/>
              </w:rPr>
              <w:t>thesauruses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to find synonyms and antonyms </w:t>
            </w:r>
          </w:p>
        </w:tc>
        <w:tc>
          <w:tcPr>
            <w:tcW w:w="1740" w:type="dxa"/>
          </w:tcPr>
          <w:p w14:paraId="051381A5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B0762">
              <w:rPr>
                <w:rFonts w:ascii="Twinkl" w:hAnsi="Twinkl"/>
                <w:sz w:val="14"/>
                <w:szCs w:val="14"/>
                <w:lang w:val="en-US"/>
              </w:rPr>
              <w:t>spelling words with ‘silent letters’</w:t>
            </w:r>
            <w:r w:rsidRPr="00DB0762">
              <w:rPr>
                <w:rFonts w:ascii="MingLiU" w:eastAsia="MingLiU" w:hAnsi="MingLiU" w:cs="MingLiU"/>
                <w:sz w:val="14"/>
                <w:szCs w:val="14"/>
                <w:lang w:val="en-US"/>
              </w:rPr>
              <w:br/>
            </w:r>
            <w:r w:rsidRPr="00DB0762">
              <w:rPr>
                <w:rFonts w:ascii="Twinkl" w:hAnsi="Twinkl"/>
                <w:sz w:val="14"/>
                <w:szCs w:val="14"/>
                <w:lang w:val="en-US"/>
              </w:rPr>
              <w:t xml:space="preserve">the difference between uncommon homophones and other confusing words </w:t>
            </w:r>
          </w:p>
          <w:p w14:paraId="58614279" w14:textId="77777777" w:rsidR="00A26614" w:rsidRPr="00DB0762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6400A41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1D6217B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B0762">
              <w:rPr>
                <w:rFonts w:ascii="Twinkl" w:hAnsi="Twinkl"/>
                <w:sz w:val="14"/>
                <w:szCs w:val="14"/>
                <w:lang w:val="en-US"/>
              </w:rPr>
              <w:t>using morphology and etymology in spelling -using a thesaurus to expand their vocabulary.</w:t>
            </w:r>
          </w:p>
          <w:p w14:paraId="0ECF123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Suffixes (English Appendix 1 NC)</w:t>
            </w:r>
          </w:p>
          <w:p w14:paraId="38F9EFF1" w14:textId="77777777" w:rsidR="00A26614" w:rsidRPr="00F95CC6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95CC6">
              <w:rPr>
                <w:rFonts w:ascii="Twinkl" w:hAnsi="Twinkl"/>
                <w:sz w:val="14"/>
                <w:szCs w:val="14"/>
                <w:lang w:val="en-US"/>
              </w:rPr>
              <w:t xml:space="preserve">Words containing the letter-string </w:t>
            </w:r>
            <w:proofErr w:type="spellStart"/>
            <w:r w:rsidRPr="00F95CC6">
              <w:rPr>
                <w:rFonts w:ascii="Twinkl" w:hAnsi="Twinkl"/>
                <w:sz w:val="14"/>
                <w:szCs w:val="14"/>
                <w:lang w:val="en-US"/>
              </w:rPr>
              <w:t>ough</w:t>
            </w:r>
            <w:proofErr w:type="spellEnd"/>
            <w:r w:rsidRPr="00F95CC6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6776D0FB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Hyphen </w:t>
            </w:r>
          </w:p>
        </w:tc>
        <w:tc>
          <w:tcPr>
            <w:tcW w:w="2040" w:type="dxa"/>
          </w:tcPr>
          <w:p w14:paraId="543C249E" w14:textId="77777777" w:rsidR="00A26614" w:rsidRPr="00DB0762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B0762">
              <w:rPr>
                <w:rFonts w:ascii="Twinkl" w:hAnsi="Twinkl"/>
                <w:sz w:val="14"/>
                <w:szCs w:val="14"/>
                <w:lang w:val="en-US"/>
              </w:rPr>
              <w:t xml:space="preserve">revise all common exception words and their meanings ready for national SPAG test completed at end of year 6 </w:t>
            </w:r>
          </w:p>
          <w:p w14:paraId="2255AFC5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62" w:type="dxa"/>
          </w:tcPr>
          <w:p w14:paraId="4C44E165" w14:textId="77777777" w:rsidR="00A26614" w:rsidRPr="00DB0762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B0762">
              <w:rPr>
                <w:rFonts w:ascii="Twinkl" w:hAnsi="Twinkl"/>
                <w:sz w:val="14"/>
                <w:szCs w:val="14"/>
                <w:lang w:val="en-US"/>
              </w:rPr>
              <w:t xml:space="preserve">revise all common exception words and their meanings ready for national SPAG test completed at end of year 6 </w:t>
            </w:r>
          </w:p>
          <w:p w14:paraId="0987CED0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784" w:type="dxa"/>
          </w:tcPr>
          <w:p w14:paraId="3A15C35A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6 curriculum</w:t>
            </w:r>
          </w:p>
        </w:tc>
      </w:tr>
      <w:tr w:rsidR="00A26614" w:rsidRPr="00ED3359" w14:paraId="2F7FE966" w14:textId="77777777" w:rsidTr="00025EE2">
        <w:trPr>
          <w:trHeight w:val="352"/>
        </w:trPr>
        <w:tc>
          <w:tcPr>
            <w:tcW w:w="1052" w:type="dxa"/>
            <w:vMerge/>
          </w:tcPr>
          <w:p w14:paraId="028714D9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13376B87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Transcription 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Handwriting)</w:t>
            </w:r>
          </w:p>
        </w:tc>
        <w:tc>
          <w:tcPr>
            <w:tcW w:w="11957" w:type="dxa"/>
            <w:gridSpan w:val="6"/>
          </w:tcPr>
          <w:p w14:paraId="5024D157" w14:textId="77777777" w:rsidR="00A26614" w:rsidRPr="00ED3359" w:rsidRDefault="00A26614" w:rsidP="0046517E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A911E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A911E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A911E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</w:tr>
      <w:tr w:rsidR="00A26614" w:rsidRPr="00ED3359" w14:paraId="74EDCBE0" w14:textId="77777777" w:rsidTr="00025EE2">
        <w:trPr>
          <w:trHeight w:val="478"/>
        </w:trPr>
        <w:tc>
          <w:tcPr>
            <w:tcW w:w="1052" w:type="dxa"/>
            <w:vMerge/>
          </w:tcPr>
          <w:p w14:paraId="5929AC05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2EB91DF9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(Composition)</w:t>
            </w:r>
          </w:p>
        </w:tc>
        <w:tc>
          <w:tcPr>
            <w:tcW w:w="1730" w:type="dxa"/>
          </w:tcPr>
          <w:p w14:paraId="0EBFB15A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Revise work done in Year 5</w:t>
            </w:r>
          </w:p>
          <w:p w14:paraId="6B037FA4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0044AE65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52D70">
              <w:rPr>
                <w:rFonts w:ascii="Twinkl" w:hAnsi="Twinkl"/>
                <w:sz w:val="14"/>
                <w:szCs w:val="14"/>
                <w:lang w:val="en-US"/>
              </w:rPr>
              <w:t>writing narratives about personal experiences and those of others (real and fictiona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l)</w:t>
            </w:r>
          </w:p>
          <w:p w14:paraId="65E2F6E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F264406" w14:textId="77777777" w:rsidR="00A26614" w:rsidRPr="00D52D70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52D70">
              <w:rPr>
                <w:rFonts w:ascii="Twinkl" w:hAnsi="Twinkl"/>
                <w:sz w:val="14"/>
                <w:szCs w:val="14"/>
                <w:lang w:val="en-US"/>
              </w:rPr>
              <w:t xml:space="preserve">poetry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writing </w:t>
            </w:r>
          </w:p>
          <w:p w14:paraId="0A0C6F14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40" w:type="dxa"/>
          </w:tcPr>
          <w:p w14:paraId="1A0DFE07" w14:textId="77777777" w:rsidR="00A26614" w:rsidRPr="001074F7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identifying the audience for and purpose of the writing, selecting the appropriate </w:t>
            </w:r>
          </w:p>
          <w:p w14:paraId="25D70905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>form and using other similar writing as models for their own</w:t>
            </w:r>
          </w:p>
          <w:p w14:paraId="4581BA51" w14:textId="77777777" w:rsidR="00A26614" w:rsidRPr="001074F7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074F7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1CD5836E" w14:textId="77777777" w:rsidR="00A26614" w:rsidRPr="007E2672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7E2672">
              <w:rPr>
                <w:rFonts w:ascii="Twinkl" w:hAnsi="Twinkl"/>
                <w:sz w:val="14"/>
                <w:szCs w:val="14"/>
                <w:lang w:val="en-US"/>
              </w:rPr>
              <w:t xml:space="preserve">ensuring the consistent and correct use of tense throughout a piece of writing </w:t>
            </w:r>
          </w:p>
          <w:p w14:paraId="461FC9CF" w14:textId="77777777" w:rsidR="00A26614" w:rsidRPr="002F7FAC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C8DE28A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A38A7E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F7FAC">
              <w:rPr>
                <w:rFonts w:ascii="Twinkl" w:hAnsi="Twinkl"/>
                <w:sz w:val="14"/>
                <w:szCs w:val="14"/>
                <w:lang w:val="en-US"/>
              </w:rPr>
              <w:t xml:space="preserve">re-reading to check that their writing makes sense and that verbs to indicate time are used correctly and consistently, including verbs in the continuous form </w:t>
            </w:r>
          </w:p>
          <w:p w14:paraId="6A8DB4E9" w14:textId="77777777" w:rsidR="00A26614" w:rsidRPr="002F7FAC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9623BD0" w14:textId="77777777" w:rsidR="00A26614" w:rsidRPr="002F7FAC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F7FAC">
              <w:rPr>
                <w:rFonts w:ascii="Twinkl" w:hAnsi="Twinkl"/>
                <w:sz w:val="14"/>
                <w:szCs w:val="14"/>
                <w:lang w:val="en-US"/>
              </w:rPr>
              <w:t xml:space="preserve">proof-reading to check for errors in spelling, grammar and punctuation [for example, ends of sentences punctuated correctly] </w:t>
            </w:r>
          </w:p>
          <w:p w14:paraId="289D8D5B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40" w:type="dxa"/>
          </w:tcPr>
          <w:p w14:paraId="3F449A06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Focus on evaluating and editing writing.</w:t>
            </w:r>
          </w:p>
          <w:p w14:paraId="45D5BA56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35A4D22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62" w:type="dxa"/>
          </w:tcPr>
          <w:p w14:paraId="2A4DEDAA" w14:textId="77777777" w:rsidR="00A26614" w:rsidRPr="006B28B6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B28B6">
              <w:rPr>
                <w:rFonts w:ascii="Twinkl" w:hAnsi="Twinkl"/>
                <w:sz w:val="14"/>
                <w:szCs w:val="14"/>
                <w:lang w:val="en-US"/>
              </w:rPr>
              <w:t>perform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ing </w:t>
            </w:r>
            <w:r w:rsidRPr="006B28B6">
              <w:rPr>
                <w:rFonts w:ascii="Twinkl" w:hAnsi="Twinkl"/>
                <w:sz w:val="14"/>
                <w:szCs w:val="14"/>
                <w:lang w:val="en-US"/>
              </w:rPr>
              <w:t xml:space="preserve">own compositions, using appropriate intonation, volume, and movement so that meaning is clear. </w:t>
            </w:r>
          </w:p>
          <w:p w14:paraId="0AA36435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784" w:type="dxa"/>
          </w:tcPr>
          <w:p w14:paraId="394809BD" w14:textId="77777777" w:rsidR="00A26614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BAA7240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6 curriculum</w:t>
            </w:r>
          </w:p>
        </w:tc>
      </w:tr>
      <w:tr w:rsidR="00A26614" w:rsidRPr="00ED3359" w14:paraId="29585046" w14:textId="77777777" w:rsidTr="00025EE2">
        <w:trPr>
          <w:trHeight w:val="478"/>
        </w:trPr>
        <w:tc>
          <w:tcPr>
            <w:tcW w:w="1052" w:type="dxa"/>
            <w:vMerge/>
          </w:tcPr>
          <w:p w14:paraId="61B34D47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28" w:type="dxa"/>
          </w:tcPr>
          <w:p w14:paraId="36A89534" w14:textId="77777777" w:rsidR="00A26614" w:rsidRPr="00ED3359" w:rsidRDefault="00A26614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(Vocabulary, grammar and punctuation )</w:t>
            </w:r>
          </w:p>
        </w:tc>
        <w:tc>
          <w:tcPr>
            <w:tcW w:w="1730" w:type="dxa"/>
          </w:tcPr>
          <w:p w14:paraId="7C70C1C1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Revision of all the grammar and punctuation from previous years. </w:t>
            </w:r>
          </w:p>
        </w:tc>
        <w:tc>
          <w:tcPr>
            <w:tcW w:w="1740" w:type="dxa"/>
          </w:tcPr>
          <w:p w14:paraId="0CC60F77" w14:textId="77777777" w:rsidR="00A26614" w:rsidRPr="00FF41E0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FF41E0">
              <w:rPr>
                <w:rFonts w:ascii="Twinkl" w:hAnsi="Twinkl"/>
                <w:sz w:val="14"/>
                <w:szCs w:val="14"/>
                <w:lang w:val="en-US"/>
              </w:rPr>
              <w:t>recognising</w:t>
            </w:r>
            <w:proofErr w:type="spellEnd"/>
            <w:r w:rsidRPr="00FF41E0">
              <w:rPr>
                <w:rFonts w:ascii="Twinkl" w:hAnsi="Twinkl"/>
                <w:sz w:val="14"/>
                <w:szCs w:val="14"/>
                <w:lang w:val="en-US"/>
              </w:rPr>
              <w:t xml:space="preserve"> vocabulary and structures that are appropriate for formal speech </w:t>
            </w:r>
          </w:p>
          <w:p w14:paraId="254BEF92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F41E0">
              <w:rPr>
                <w:rFonts w:ascii="Twinkl" w:hAnsi="Twinkl"/>
                <w:sz w:val="14"/>
                <w:szCs w:val="14"/>
                <w:lang w:val="en-US"/>
              </w:rPr>
              <w:t xml:space="preserve">and writing, including subjunctive forms </w:t>
            </w:r>
          </w:p>
          <w:p w14:paraId="6D327560" w14:textId="77777777" w:rsidR="00A26614" w:rsidRPr="00FF41E0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3CDCCB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F41E0">
              <w:rPr>
                <w:rFonts w:ascii="Twinkl" w:hAnsi="Twinkl"/>
                <w:sz w:val="14"/>
                <w:szCs w:val="14"/>
                <w:lang w:val="en-US"/>
              </w:rPr>
              <w:t xml:space="preserve">passive verbs to affect the presentation of information in a sentence </w:t>
            </w:r>
          </w:p>
          <w:p w14:paraId="4932CD5D" w14:textId="77777777" w:rsidR="00A26614" w:rsidRPr="00FF41E0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CFD3690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F41E0">
              <w:rPr>
                <w:rFonts w:ascii="Twinkl" w:hAnsi="Twinkl"/>
                <w:sz w:val="14"/>
                <w:szCs w:val="14"/>
                <w:lang w:val="en-US"/>
              </w:rPr>
              <w:t xml:space="preserve">the perfect form of verbs to mark relationships of time and cause </w:t>
            </w:r>
          </w:p>
          <w:p w14:paraId="5922FA9E" w14:textId="77777777" w:rsidR="00A26614" w:rsidRPr="00F610C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semi-colons, colons or dashes to mark boundaries between independent </w:t>
            </w:r>
          </w:p>
          <w:p w14:paraId="2DF5641A" w14:textId="77777777" w:rsidR="00A26614" w:rsidRPr="00F610C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clauses </w:t>
            </w:r>
          </w:p>
          <w:p w14:paraId="3A0E1815" w14:textId="77777777" w:rsidR="00A26614" w:rsidRPr="00FF41E0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using a colon to introduce a list </w:t>
            </w:r>
          </w:p>
          <w:p w14:paraId="49BEA0EA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1300F32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40251">
              <w:rPr>
                <w:rFonts w:ascii="Twinkl" w:hAnsi="Twinkl"/>
                <w:sz w:val="14"/>
                <w:szCs w:val="14"/>
                <w:lang w:val="en-US"/>
              </w:rPr>
              <w:t xml:space="preserve">expanded noun phrases to convey complicated information concisely </w:t>
            </w:r>
          </w:p>
          <w:p w14:paraId="1BC3B101" w14:textId="77777777" w:rsidR="00A26614" w:rsidRPr="00640251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D6A43E9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40251">
              <w:rPr>
                <w:rFonts w:ascii="Twinkl" w:hAnsi="Twinkl"/>
                <w:sz w:val="14"/>
                <w:szCs w:val="14"/>
                <w:lang w:val="en-US"/>
              </w:rPr>
              <w:t xml:space="preserve">modal verbs or adverbs to indicate degrees of possibility </w:t>
            </w:r>
          </w:p>
          <w:p w14:paraId="30BC259A" w14:textId="77777777" w:rsidR="00A26614" w:rsidRPr="00640251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CFB4443" w14:textId="77777777" w:rsidR="00A26614" w:rsidRPr="00640251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40251">
              <w:rPr>
                <w:rFonts w:ascii="Twinkl" w:hAnsi="Twinkl"/>
                <w:sz w:val="14"/>
                <w:szCs w:val="14"/>
                <w:lang w:val="en-US"/>
              </w:rPr>
              <w:t xml:space="preserve">using relative clauses beginning with who, which, where, when, whose, that or </w:t>
            </w:r>
          </w:p>
          <w:p w14:paraId="0E76847A" w14:textId="77777777" w:rsidR="00A26614" w:rsidRPr="00640251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40251">
              <w:rPr>
                <w:rFonts w:ascii="Twinkl" w:hAnsi="Twinkl"/>
                <w:sz w:val="14"/>
                <w:szCs w:val="14"/>
                <w:lang w:val="en-US"/>
              </w:rPr>
              <w:t xml:space="preserve">with an implied (i.e. omitted) relative pronoun </w:t>
            </w:r>
          </w:p>
          <w:p w14:paraId="73C4F065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40" w:type="dxa"/>
          </w:tcPr>
          <w:p w14:paraId="654735BF" w14:textId="77777777" w:rsidR="00A26614" w:rsidRPr="00657168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57168">
              <w:rPr>
                <w:rFonts w:ascii="Twinkl" w:hAnsi="Twinkl"/>
                <w:sz w:val="14"/>
                <w:szCs w:val="14"/>
                <w:lang w:val="en-US"/>
              </w:rPr>
              <w:t xml:space="preserve">using commas to clarify meaning or avoid ambiguity in writing </w:t>
            </w:r>
          </w:p>
          <w:p w14:paraId="77E5BF51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57168">
              <w:rPr>
                <w:rFonts w:ascii="Twinkl" w:hAnsi="Twinkl"/>
                <w:sz w:val="14"/>
                <w:szCs w:val="14"/>
                <w:lang w:val="en-US"/>
              </w:rPr>
              <w:t xml:space="preserve">hyphens to avoid ambiguity </w:t>
            </w:r>
          </w:p>
          <w:p w14:paraId="43E98BF3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57168">
              <w:rPr>
                <w:rFonts w:ascii="Twinkl" w:hAnsi="Twinkl"/>
                <w:sz w:val="14"/>
                <w:szCs w:val="14"/>
                <w:lang w:val="en-US"/>
              </w:rPr>
              <w:t xml:space="preserve">brackets, dashes or commas to indicate parenthesis </w:t>
            </w:r>
          </w:p>
          <w:p w14:paraId="71AAB720" w14:textId="77777777" w:rsidR="00A26614" w:rsidRPr="00F610C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semi-colons, colons or dashes to mark boundaries between independent </w:t>
            </w:r>
          </w:p>
          <w:p w14:paraId="3D403C43" w14:textId="77777777" w:rsidR="00A26614" w:rsidRPr="00F610C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clauses </w:t>
            </w:r>
          </w:p>
          <w:p w14:paraId="6454B712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>using a colon to introduce a list</w:t>
            </w:r>
          </w:p>
          <w:p w14:paraId="21001A7D" w14:textId="77777777" w:rsidR="00A26614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C04E4EF" w14:textId="77777777" w:rsidR="00A26614" w:rsidRPr="00292223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292223">
              <w:rPr>
                <w:rFonts w:ascii="Twinkl" w:hAnsi="Twinkl"/>
                <w:sz w:val="14"/>
                <w:szCs w:val="14"/>
                <w:lang w:val="en-US"/>
              </w:rPr>
              <w:t>use and understand the grammatical terminology in English Appendix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2</w:t>
            </w:r>
          </w:p>
          <w:p w14:paraId="02CF6F28" w14:textId="77777777" w:rsidR="00A26614" w:rsidRPr="00F610CE" w:rsidRDefault="00A26614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610CE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6AE80C33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62" w:type="dxa"/>
          </w:tcPr>
          <w:p w14:paraId="6328E2FC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Revise all of Year 6 curriculum  and grammar from English Appendix 2 in NC document.</w:t>
            </w:r>
          </w:p>
        </w:tc>
        <w:tc>
          <w:tcPr>
            <w:tcW w:w="2784" w:type="dxa"/>
          </w:tcPr>
          <w:p w14:paraId="3298C207" w14:textId="77777777" w:rsidR="00A26614" w:rsidRPr="00ED3359" w:rsidRDefault="00A26614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6 curriculum  and grammar from English Appendix 2 in NC document.</w:t>
            </w:r>
          </w:p>
        </w:tc>
      </w:tr>
    </w:tbl>
    <w:p w14:paraId="3C0C5D14" w14:textId="77777777" w:rsidR="00051DB1" w:rsidRDefault="00051DB1"/>
    <w:sectPr w:rsidR="00051DB1" w:rsidSect="009B5855">
      <w:headerReference w:type="default" r:id="rId6"/>
      <w:pgSz w:w="16840" w:h="11900" w:orient="landscape"/>
      <w:pgMar w:top="1440" w:right="1440" w:bottom="1440" w:left="1440" w:header="3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1423" w14:textId="77777777" w:rsidR="00F3361E" w:rsidRDefault="00F3361E" w:rsidP="00A26614">
      <w:r>
        <w:separator/>
      </w:r>
    </w:p>
  </w:endnote>
  <w:endnote w:type="continuationSeparator" w:id="0">
    <w:p w14:paraId="64D24D38" w14:textId="77777777" w:rsidR="00F3361E" w:rsidRDefault="00F3361E" w:rsidP="00A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7BD6" w14:textId="77777777" w:rsidR="00F3361E" w:rsidRDefault="00F3361E" w:rsidP="00A26614">
      <w:r>
        <w:separator/>
      </w:r>
    </w:p>
  </w:footnote>
  <w:footnote w:type="continuationSeparator" w:id="0">
    <w:p w14:paraId="4DC1998A" w14:textId="77777777" w:rsidR="00F3361E" w:rsidRDefault="00F3361E" w:rsidP="00A26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0450" w14:textId="489FCF3E" w:rsidR="00A26614" w:rsidRPr="00ED3359" w:rsidRDefault="0036764D" w:rsidP="009B5855">
    <w:pPr>
      <w:ind w:left="5760" w:firstLine="720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A26614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4E682968" w14:textId="722FEA99" w:rsidR="00A26614" w:rsidRDefault="00A26614" w:rsidP="009B5855">
    <w:pPr>
      <w:ind w:left="6480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 Year 6</w:t>
    </w:r>
  </w:p>
  <w:p w14:paraId="36E5BD0D" w14:textId="77777777" w:rsidR="00CD626F" w:rsidRDefault="00CD626F" w:rsidP="00A26614">
    <w:pPr>
      <w:jc w:val="center"/>
      <w:rPr>
        <w:rFonts w:ascii="Twinkl" w:hAnsi="Twinkl"/>
        <w:b/>
        <w:sz w:val="14"/>
        <w:szCs w:val="14"/>
        <w:u w:val="single"/>
      </w:rPr>
    </w:pPr>
  </w:p>
  <w:p w14:paraId="26926E72" w14:textId="77777777" w:rsidR="00CD626F" w:rsidRPr="00ED3359" w:rsidRDefault="00CD626F" w:rsidP="00A26614">
    <w:pPr>
      <w:jc w:val="center"/>
      <w:rPr>
        <w:rFonts w:ascii="Twinkl" w:hAnsi="Twinkl"/>
        <w:b/>
        <w:sz w:val="14"/>
        <w:szCs w:val="14"/>
        <w:u w:val="single"/>
      </w:rPr>
    </w:pPr>
  </w:p>
  <w:p w14:paraId="0D096B67" w14:textId="77777777" w:rsidR="00A26614" w:rsidRDefault="00A26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4"/>
    <w:rsid w:val="00025EE2"/>
    <w:rsid w:val="000373A4"/>
    <w:rsid w:val="00051DB1"/>
    <w:rsid w:val="000D65BE"/>
    <w:rsid w:val="0036764D"/>
    <w:rsid w:val="004B340E"/>
    <w:rsid w:val="0068519A"/>
    <w:rsid w:val="008A18FE"/>
    <w:rsid w:val="009B5855"/>
    <w:rsid w:val="00A26614"/>
    <w:rsid w:val="00A34D91"/>
    <w:rsid w:val="00AF1736"/>
    <w:rsid w:val="00CD626F"/>
    <w:rsid w:val="00DA24D7"/>
    <w:rsid w:val="00F3361E"/>
    <w:rsid w:val="00F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E1D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4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14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14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6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14"/>
    <w:rPr>
      <w:rFonts w:eastAsiaTheme="minorEastAsia"/>
      <w:lang w:val="en-GB"/>
    </w:rPr>
  </w:style>
  <w:style w:type="paragraph" w:styleId="NoSpacing">
    <w:name w:val="No Spacing"/>
    <w:uiPriority w:val="1"/>
    <w:qFormat/>
    <w:rsid w:val="00A26614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825</Words>
  <Characters>4704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2021-09-17T15:29:00Z</dcterms:created>
  <dcterms:modified xsi:type="dcterms:W3CDTF">2021-09-23T07:47:00Z</dcterms:modified>
</cp:coreProperties>
</file>