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10" w:tblpY="1625"/>
        <w:tblW w:w="0" w:type="auto"/>
        <w:tblLook w:val="04A0" w:firstRow="1" w:lastRow="0" w:firstColumn="1" w:lastColumn="0" w:noHBand="0" w:noVBand="1"/>
      </w:tblPr>
      <w:tblGrid>
        <w:gridCol w:w="1228"/>
        <w:gridCol w:w="1899"/>
        <w:gridCol w:w="1913"/>
        <w:gridCol w:w="1922"/>
        <w:gridCol w:w="1888"/>
        <w:gridCol w:w="1914"/>
        <w:gridCol w:w="1560"/>
        <w:gridCol w:w="1626"/>
      </w:tblGrid>
      <w:tr w:rsidR="00497876" w:rsidRPr="00ED3359" w14:paraId="52BE2C19" w14:textId="77777777" w:rsidTr="00B85D8A">
        <w:trPr>
          <w:trHeight w:val="552"/>
        </w:trPr>
        <w:tc>
          <w:tcPr>
            <w:tcW w:w="1228" w:type="dxa"/>
          </w:tcPr>
          <w:p w14:paraId="31CE8DB5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bookmarkStart w:id="0" w:name="_GoBack" w:colFirst="4" w:colLast="4"/>
          </w:p>
        </w:tc>
        <w:tc>
          <w:tcPr>
            <w:tcW w:w="1899" w:type="dxa"/>
          </w:tcPr>
          <w:p w14:paraId="5C1F2268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3" w:type="dxa"/>
            <w:shd w:val="clear" w:color="auto" w:fill="FFCC00"/>
          </w:tcPr>
          <w:p w14:paraId="3177DED4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1</w:t>
            </w:r>
          </w:p>
        </w:tc>
        <w:tc>
          <w:tcPr>
            <w:tcW w:w="1922" w:type="dxa"/>
            <w:shd w:val="clear" w:color="auto" w:fill="FFCC00"/>
          </w:tcPr>
          <w:p w14:paraId="5EAC25D5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2</w:t>
            </w:r>
          </w:p>
        </w:tc>
        <w:tc>
          <w:tcPr>
            <w:tcW w:w="1888" w:type="dxa"/>
            <w:shd w:val="clear" w:color="auto" w:fill="00FF00"/>
          </w:tcPr>
          <w:p w14:paraId="0D344CC6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1</w:t>
            </w:r>
          </w:p>
          <w:p w14:paraId="2A720D17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914" w:type="dxa"/>
            <w:shd w:val="clear" w:color="auto" w:fill="00FF00"/>
          </w:tcPr>
          <w:p w14:paraId="746CF7EE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2</w:t>
            </w:r>
          </w:p>
          <w:p w14:paraId="137057BB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00FF"/>
          </w:tcPr>
          <w:p w14:paraId="57E2548F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1</w:t>
            </w:r>
          </w:p>
        </w:tc>
        <w:tc>
          <w:tcPr>
            <w:tcW w:w="1626" w:type="dxa"/>
            <w:shd w:val="clear" w:color="auto" w:fill="FF00FF"/>
          </w:tcPr>
          <w:p w14:paraId="20D2D18F" w14:textId="77777777" w:rsidR="00D75D3D" w:rsidRPr="00ED3359" w:rsidRDefault="00D75D3D" w:rsidP="00B85D8A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2</w:t>
            </w:r>
          </w:p>
        </w:tc>
      </w:tr>
      <w:tr w:rsidR="00D75D3D" w:rsidRPr="00ED3359" w14:paraId="13E06400" w14:textId="77777777" w:rsidTr="00B85D8A">
        <w:trPr>
          <w:trHeight w:val="2518"/>
        </w:trPr>
        <w:tc>
          <w:tcPr>
            <w:tcW w:w="1228" w:type="dxa"/>
            <w:vMerge w:val="restart"/>
          </w:tcPr>
          <w:p w14:paraId="64AE8A0E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Year </w:t>
            </w:r>
            <w:r>
              <w:rPr>
                <w:rFonts w:ascii="Twinkl" w:hAnsi="Twinkl"/>
                <w:b/>
                <w:sz w:val="14"/>
                <w:szCs w:val="14"/>
                <w:u w:val="single"/>
              </w:rPr>
              <w:t>Four</w:t>
            </w:r>
          </w:p>
        </w:tc>
        <w:tc>
          <w:tcPr>
            <w:tcW w:w="1899" w:type="dxa"/>
          </w:tcPr>
          <w:p w14:paraId="16F32629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Books</w:t>
            </w:r>
          </w:p>
        </w:tc>
        <w:tc>
          <w:tcPr>
            <w:tcW w:w="1913" w:type="dxa"/>
          </w:tcPr>
          <w:p w14:paraId="090BBC07" w14:textId="77777777" w:rsidR="00D75D3D" w:rsidRDefault="00D75D3D" w:rsidP="00B85D8A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66490B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Growing Together </w:t>
            </w:r>
          </w:p>
          <w:p w14:paraId="223916CF" w14:textId="77777777" w:rsidR="00D75D3D" w:rsidRPr="0066490B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6490B">
              <w:rPr>
                <w:rFonts w:ascii="Twinkl" w:hAnsi="Twinkl"/>
                <w:sz w:val="14"/>
                <w:szCs w:val="14"/>
                <w:lang w:val="en-US"/>
              </w:rPr>
              <w:t>The Promise by Nicola Davis</w:t>
            </w:r>
          </w:p>
          <w:p w14:paraId="032CDADF" w14:textId="77777777" w:rsidR="00D75D3D" w:rsidRPr="0066490B" w:rsidRDefault="00D75D3D" w:rsidP="00B85D8A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</w:p>
          <w:p w14:paraId="6AD53E0E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Christophe’s story by Nicki Cornwell. </w:t>
            </w:r>
          </w:p>
          <w:p w14:paraId="11BA7CE7" w14:textId="77777777" w:rsidR="00D75D3D" w:rsidRPr="000B6B22" w:rsidRDefault="00D75D3D" w:rsidP="00B85D8A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0B6B22">
              <w:rPr>
                <w:rFonts w:ascii="Twinkl" w:hAnsi="Twinkl"/>
                <w:b/>
                <w:sz w:val="14"/>
                <w:szCs w:val="14"/>
                <w:lang w:val="en-US"/>
              </w:rPr>
              <w:t>Roald Dahl Week:</w:t>
            </w:r>
            <w:r w:rsidRPr="000B6B22">
              <w:rPr>
                <w:rFonts w:ascii="Twinkl" w:hAnsi="Twinkl"/>
                <w:sz w:val="14"/>
                <w:szCs w:val="14"/>
                <w:lang w:val="en-US"/>
              </w:rPr>
              <w:t xml:space="preserve"> BFG</w:t>
            </w:r>
          </w:p>
          <w:p w14:paraId="3A565DFE" w14:textId="77777777" w:rsidR="00D75D3D" w:rsidRPr="000B6B22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B6B22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Poetry Week: </w:t>
            </w:r>
            <w:r w:rsidRPr="000B6B22">
              <w:rPr>
                <w:rFonts w:ascii="Twinkl" w:hAnsi="Twinkl"/>
                <w:sz w:val="14"/>
                <w:szCs w:val="14"/>
                <w:lang w:val="en-US"/>
              </w:rPr>
              <w:t xml:space="preserve">Firework night by Enid </w:t>
            </w:r>
            <w:proofErr w:type="spellStart"/>
            <w:r w:rsidRPr="000B6B22">
              <w:rPr>
                <w:rFonts w:ascii="Twinkl" w:hAnsi="Twinkl"/>
                <w:sz w:val="14"/>
                <w:szCs w:val="14"/>
                <w:lang w:val="en-US"/>
              </w:rPr>
              <w:t>Blyton</w:t>
            </w:r>
            <w:proofErr w:type="spellEnd"/>
          </w:p>
          <w:p w14:paraId="1E60BC55" w14:textId="77777777" w:rsidR="00D75D3D" w:rsidRPr="000B6B22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B6B22">
              <w:rPr>
                <w:rFonts w:ascii="Twinkl" w:hAnsi="Twinkl"/>
                <w:sz w:val="14"/>
                <w:szCs w:val="14"/>
                <w:lang w:val="en-US"/>
              </w:rPr>
              <w:t>Leisure by W.H. Davies</w:t>
            </w:r>
          </w:p>
          <w:p w14:paraId="0025C14E" w14:textId="77777777" w:rsidR="00D75D3D" w:rsidRPr="000B6B22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B6B22">
              <w:rPr>
                <w:rFonts w:ascii="Twinkl" w:hAnsi="Twinkl"/>
                <w:sz w:val="14"/>
                <w:szCs w:val="14"/>
                <w:lang w:val="en-US"/>
              </w:rPr>
              <w:t>The Eagle by Alfred Lord Tennyson</w:t>
            </w:r>
          </w:p>
          <w:p w14:paraId="4EDECC29" w14:textId="77777777" w:rsidR="001131BC" w:rsidRDefault="00D75D3D" w:rsidP="00B85D8A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0B6B22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Black History Month: </w:t>
            </w:r>
          </w:p>
          <w:p w14:paraId="618C819D" w14:textId="5EA42824" w:rsidR="001131BC" w:rsidRPr="001131BC" w:rsidRDefault="001131BC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131BC">
              <w:rPr>
                <w:rFonts w:ascii="Twinkl" w:hAnsi="Twinkl"/>
                <w:sz w:val="14"/>
                <w:szCs w:val="14"/>
                <w:lang w:val="en-US"/>
              </w:rPr>
              <w:t>The Place for Me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:</w:t>
            </w:r>
            <w:r w:rsidRPr="001131BC">
              <w:rPr>
                <w:rFonts w:ascii="Twinkl" w:hAnsi="Twinkl"/>
                <w:sz w:val="14"/>
                <w:szCs w:val="14"/>
                <w:lang w:val="en-US"/>
              </w:rPr>
              <w:t xml:space="preserve"> Stories about </w:t>
            </w:r>
            <w:proofErr w:type="spellStart"/>
            <w:r w:rsidRPr="001131BC">
              <w:rPr>
                <w:rFonts w:ascii="Twinkl" w:hAnsi="Twinkl"/>
                <w:sz w:val="14"/>
                <w:szCs w:val="14"/>
                <w:lang w:val="en-US"/>
              </w:rPr>
              <w:t>Windrush</w:t>
            </w:r>
            <w:proofErr w:type="spellEnd"/>
            <w:r w:rsidRPr="001131BC">
              <w:rPr>
                <w:rFonts w:ascii="Twinkl" w:hAnsi="Twinkl"/>
                <w:sz w:val="14"/>
                <w:szCs w:val="14"/>
                <w:lang w:val="en-US"/>
              </w:rPr>
              <w:t xml:space="preserve"> generation </w:t>
            </w:r>
          </w:p>
          <w:p w14:paraId="66554058" w14:textId="77777777" w:rsidR="001131BC" w:rsidRDefault="001131BC" w:rsidP="00B85D8A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</w:p>
          <w:p w14:paraId="5AA4C7D1" w14:textId="7E92757D" w:rsidR="001131BC" w:rsidRDefault="001131BC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131BC">
              <w:rPr>
                <w:rFonts w:ascii="Twinkl" w:hAnsi="Twinkl"/>
                <w:sz w:val="14"/>
                <w:szCs w:val="14"/>
                <w:lang w:val="en-US"/>
              </w:rPr>
              <w:t xml:space="preserve">Michelle Obama by Anna Doherty </w:t>
            </w:r>
          </w:p>
          <w:p w14:paraId="53B23113" w14:textId="77777777" w:rsidR="001131BC" w:rsidRPr="001131BC" w:rsidRDefault="001131BC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3757832" w14:textId="544B230D" w:rsidR="00D75D3D" w:rsidRDefault="00D75D3D" w:rsidP="00B85D8A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proofErr w:type="spellStart"/>
            <w:r w:rsidRPr="000B6B22">
              <w:rPr>
                <w:rFonts w:ascii="Twinkl" w:hAnsi="Twinkl"/>
                <w:sz w:val="14"/>
                <w:szCs w:val="14"/>
                <w:lang w:val="en-US"/>
              </w:rPr>
              <w:t>Anisha</w:t>
            </w:r>
            <w:proofErr w:type="spellEnd"/>
            <w:r w:rsidRPr="000B6B22">
              <w:rPr>
                <w:rFonts w:ascii="Twinkl" w:hAnsi="Twinkl"/>
                <w:sz w:val="14"/>
                <w:szCs w:val="14"/>
                <w:lang w:val="en-US"/>
              </w:rPr>
              <w:t xml:space="preserve"> Accidental Detective by Serena Patel</w:t>
            </w:r>
            <w:r w:rsidRPr="000B6B22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 </w:t>
            </w:r>
          </w:p>
          <w:p w14:paraId="1E3ABFDA" w14:textId="77777777" w:rsidR="001131BC" w:rsidRPr="000B6B22" w:rsidRDefault="001131BC" w:rsidP="00B85D8A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</w:p>
          <w:p w14:paraId="0C90EC1D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22" w:type="dxa"/>
          </w:tcPr>
          <w:p w14:paraId="2EBEBD26" w14:textId="4AB2F2FE" w:rsidR="00D75D3D" w:rsidRPr="0036709E" w:rsidRDefault="00497876" w:rsidP="00B85D8A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</w:t>
            </w:r>
            <w:r w:rsidR="00D75D3D" w:rsidRPr="0036709E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Based on the Romans</w:t>
            </w:r>
          </w:p>
          <w:p w14:paraId="666B1F83" w14:textId="77777777" w:rsidR="00D75D3D" w:rsidRPr="00857338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857338">
              <w:rPr>
                <w:rFonts w:ascii="Twinkl" w:hAnsi="Twinkl"/>
                <w:sz w:val="14"/>
                <w:szCs w:val="14"/>
                <w:lang w:val="en-US"/>
              </w:rPr>
              <w:t xml:space="preserve">Escape to Pompeii by Christina </w:t>
            </w:r>
            <w:proofErr w:type="spellStart"/>
            <w:r w:rsidRPr="00857338">
              <w:rPr>
                <w:rFonts w:ascii="Twinkl" w:hAnsi="Twinkl"/>
                <w:sz w:val="14"/>
                <w:szCs w:val="14"/>
                <w:lang w:val="en-US"/>
              </w:rPr>
              <w:t>Balit</w:t>
            </w:r>
            <w:proofErr w:type="spellEnd"/>
            <w:r w:rsidRPr="00857338">
              <w:rPr>
                <w:rFonts w:ascii="Twinkl" w:hAnsi="Twinkl"/>
                <w:sz w:val="14"/>
                <w:szCs w:val="14"/>
                <w:lang w:val="en-US"/>
              </w:rPr>
              <w:t xml:space="preserve"> (creative writing, setting description, diary entry)</w:t>
            </w:r>
          </w:p>
          <w:p w14:paraId="36A4D416" w14:textId="77777777" w:rsidR="00D75D3D" w:rsidRPr="00857338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C690E41" w14:textId="77777777" w:rsidR="00D75D3D" w:rsidRPr="00E469E4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469E4">
              <w:rPr>
                <w:rFonts w:ascii="Twinkl" w:hAnsi="Twinkl"/>
                <w:sz w:val="14"/>
                <w:szCs w:val="14"/>
                <w:lang w:val="en-US"/>
              </w:rPr>
              <w:t xml:space="preserve">The Iron Man by Ted Hughes </w:t>
            </w:r>
          </w:p>
          <w:p w14:paraId="1554D1A5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71FB6E7F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88" w:type="dxa"/>
          </w:tcPr>
          <w:p w14:paraId="55CAE9E2" w14:textId="77777777" w:rsidR="00D75D3D" w:rsidRPr="00F81112" w:rsidRDefault="00D75D3D" w:rsidP="00B85D8A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F81112">
              <w:rPr>
                <w:rFonts w:ascii="Twinkl" w:hAnsi="Twinkl"/>
                <w:b/>
                <w:sz w:val="14"/>
                <w:szCs w:val="14"/>
                <w:u w:val="single"/>
              </w:rPr>
              <w:t>Theme:</w:t>
            </w:r>
            <w:r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 Friendship</w:t>
            </w:r>
          </w:p>
          <w:p w14:paraId="647B64BB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 w:rsidRPr="00F81112">
              <w:rPr>
                <w:rFonts w:ascii="Twinkl" w:hAnsi="Twinkl"/>
                <w:b/>
                <w:sz w:val="14"/>
                <w:szCs w:val="14"/>
              </w:rPr>
              <w:t xml:space="preserve">Books: </w:t>
            </w:r>
            <w:r w:rsidRPr="00F81112">
              <w:rPr>
                <w:rFonts w:ascii="Twinkl" w:hAnsi="Twinkl"/>
                <w:sz w:val="14"/>
                <w:szCs w:val="14"/>
              </w:rPr>
              <w:t xml:space="preserve">Charlotte’s Web by E.B. White </w:t>
            </w:r>
          </w:p>
          <w:p w14:paraId="6CD44DC5" w14:textId="77777777" w:rsidR="00D75D3D" w:rsidRPr="00F81112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6AD5E978" w14:textId="2C0A325C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 w:rsidRPr="00E633A6">
              <w:rPr>
                <w:rFonts w:ascii="Twinkl" w:hAnsi="Twinkl"/>
                <w:b/>
                <w:sz w:val="14"/>
                <w:szCs w:val="14"/>
              </w:rPr>
              <w:t>Poetry Week:</w:t>
            </w:r>
            <w:r>
              <w:rPr>
                <w:rFonts w:ascii="Twinkl" w:hAnsi="Twinkl"/>
                <w:sz w:val="14"/>
                <w:szCs w:val="14"/>
              </w:rPr>
              <w:t xml:space="preserve"> Roger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McGough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="001131BC">
              <w:rPr>
                <w:rFonts w:ascii="Twinkl" w:hAnsi="Twinkl"/>
                <w:sz w:val="14"/>
                <w:szCs w:val="14"/>
              </w:rPr>
              <w:t>a</w:t>
            </w:r>
            <w:r>
              <w:rPr>
                <w:rFonts w:ascii="Twinkl" w:hAnsi="Twinkl"/>
                <w:sz w:val="14"/>
                <w:szCs w:val="14"/>
              </w:rPr>
              <w:t xml:space="preserve">nd Gina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Douthwaite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</w:t>
            </w:r>
          </w:p>
          <w:p w14:paraId="2B6A84B3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30719448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 w:rsidRPr="00117362">
              <w:rPr>
                <w:rFonts w:ascii="Twinkl" w:hAnsi="Twinkl"/>
                <w:b/>
                <w:sz w:val="14"/>
                <w:szCs w:val="14"/>
              </w:rPr>
              <w:t>Mental Health Week</w:t>
            </w:r>
            <w:r>
              <w:rPr>
                <w:rFonts w:ascii="Twinkl" w:hAnsi="Twinkl"/>
                <w:sz w:val="14"/>
                <w:szCs w:val="14"/>
              </w:rPr>
              <w:t xml:space="preserve">: </w:t>
            </w:r>
          </w:p>
          <w:p w14:paraId="10524C0D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‘What to do when you worry too much’ by Dawn Huebner </w:t>
            </w:r>
          </w:p>
          <w:p w14:paraId="403C438C" w14:textId="77777777" w:rsidR="00D75D3D" w:rsidRPr="00F81112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62F82DDF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4" w:type="dxa"/>
          </w:tcPr>
          <w:p w14:paraId="23B98049" w14:textId="77777777" w:rsidR="00742911" w:rsidRPr="00497876" w:rsidRDefault="00742911" w:rsidP="00742911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497876">
              <w:rPr>
                <w:rFonts w:ascii="Twinkl" w:hAnsi="Twinkl"/>
                <w:b/>
                <w:sz w:val="14"/>
                <w:szCs w:val="14"/>
                <w:u w:val="single"/>
              </w:rPr>
              <w:t>Theme: Crime and punishment</w:t>
            </w:r>
          </w:p>
          <w:p w14:paraId="1E7B3D79" w14:textId="77777777" w:rsidR="00742911" w:rsidRPr="00497876" w:rsidRDefault="00742911" w:rsidP="00742911">
            <w:pPr>
              <w:rPr>
                <w:rFonts w:ascii="Twinkl" w:hAnsi="Twinkl"/>
                <w:sz w:val="14"/>
                <w:szCs w:val="14"/>
              </w:rPr>
            </w:pPr>
          </w:p>
          <w:p w14:paraId="323B8927" w14:textId="78F21356" w:rsidR="00497876" w:rsidRPr="00497876" w:rsidRDefault="00742911" w:rsidP="00742911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497876">
              <w:rPr>
                <w:rFonts w:ascii="Twinkl" w:hAnsi="Twinkl"/>
                <w:sz w:val="14"/>
                <w:szCs w:val="14"/>
              </w:rPr>
              <w:t xml:space="preserve">The Street Child by </w:t>
            </w:r>
            <w:proofErr w:type="spellStart"/>
            <w:r w:rsidRPr="00497876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497876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  <w:p w14:paraId="53E7F0BC" w14:textId="77777777" w:rsidR="00497876" w:rsidRPr="00497876" w:rsidRDefault="00497876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040B2E1F" w14:textId="77777777" w:rsidR="00497876" w:rsidRPr="00497876" w:rsidRDefault="00497876" w:rsidP="00B85D8A">
            <w:pPr>
              <w:rPr>
                <w:rFonts w:ascii="Twinkl" w:hAnsi="Twinkl"/>
                <w:sz w:val="14"/>
                <w:szCs w:val="14"/>
              </w:rPr>
            </w:pPr>
            <w:proofErr w:type="spellStart"/>
            <w:r w:rsidRPr="00497876">
              <w:rPr>
                <w:rFonts w:ascii="Twinkl" w:hAnsi="Twinkl"/>
                <w:sz w:val="14"/>
                <w:szCs w:val="14"/>
              </w:rPr>
              <w:t>Wangari’s</w:t>
            </w:r>
            <w:proofErr w:type="spellEnd"/>
            <w:r w:rsidRPr="00497876">
              <w:rPr>
                <w:rFonts w:ascii="Twinkl" w:hAnsi="Twinkl"/>
                <w:sz w:val="14"/>
                <w:szCs w:val="14"/>
              </w:rPr>
              <w:t xml:space="preserve"> Trees of Peace: A True Story from Africa</w:t>
            </w:r>
          </w:p>
          <w:p w14:paraId="3BF51C3A" w14:textId="77777777" w:rsidR="00497876" w:rsidRPr="00497876" w:rsidRDefault="00497876" w:rsidP="00B85D8A">
            <w:pPr>
              <w:rPr>
                <w:rFonts w:ascii="Twinkl" w:hAnsi="Twinkl"/>
                <w:sz w:val="14"/>
                <w:szCs w:val="14"/>
              </w:rPr>
            </w:pPr>
            <w:r w:rsidRPr="00497876">
              <w:rPr>
                <w:rFonts w:ascii="Twinkl" w:hAnsi="Twinkl"/>
                <w:sz w:val="14"/>
                <w:szCs w:val="14"/>
              </w:rPr>
              <w:t>(International Women’s Day)</w:t>
            </w:r>
          </w:p>
          <w:p w14:paraId="4548A30E" w14:textId="77777777" w:rsidR="00497876" w:rsidRPr="00497876" w:rsidRDefault="00497876" w:rsidP="00B85D8A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130E96DD" w14:textId="79DCB5E9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1BE5023" w14:textId="77777777" w:rsidR="00D75D3D" w:rsidRPr="001147B6" w:rsidRDefault="00D75D3D" w:rsidP="00B85D8A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</w:t>
            </w:r>
            <w:r w:rsidRPr="001147B6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heme:</w:t>
            </w: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 </w:t>
            </w:r>
            <w:r w:rsidRPr="001147B6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friendship</w:t>
            </w:r>
          </w:p>
          <w:p w14:paraId="6D151CDD" w14:textId="77777777" w:rsidR="00D75D3D" w:rsidRPr="001913A2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1913A2">
              <w:rPr>
                <w:rFonts w:ascii="Twinkl" w:hAnsi="Twinkl"/>
                <w:sz w:val="14"/>
                <w:szCs w:val="14"/>
                <w:lang w:val="en-US"/>
              </w:rPr>
              <w:t>Varjak</w:t>
            </w:r>
            <w:proofErr w:type="spellEnd"/>
            <w:r w:rsidRPr="001913A2">
              <w:rPr>
                <w:rFonts w:ascii="Twinkl" w:hAnsi="Twinkl"/>
                <w:sz w:val="14"/>
                <w:szCs w:val="14"/>
                <w:lang w:val="en-US"/>
              </w:rPr>
              <w:t xml:space="preserve"> Paw by S F Said</w:t>
            </w:r>
          </w:p>
          <w:p w14:paraId="5E01356E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11D4D67D" w14:textId="58578945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Cloud Boy Marcia Williams</w:t>
            </w:r>
          </w:p>
          <w:p w14:paraId="112746DC" w14:textId="77777777" w:rsidR="00742911" w:rsidRDefault="00742911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758A4DD7" w14:textId="77777777" w:rsidR="00742911" w:rsidRPr="00497876" w:rsidRDefault="00742911" w:rsidP="00742911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497876">
              <w:rPr>
                <w:rFonts w:ascii="Twinkl" w:hAnsi="Twinkl"/>
                <w:b/>
                <w:sz w:val="14"/>
                <w:szCs w:val="14"/>
                <w:u w:val="single"/>
              </w:rPr>
              <w:t>Theme: Environmental Issues</w:t>
            </w:r>
          </w:p>
          <w:p w14:paraId="075F7FCC" w14:textId="25E032FB" w:rsidR="00742911" w:rsidRDefault="00742911" w:rsidP="00742911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Red Alert by Catherine Barr</w:t>
            </w:r>
          </w:p>
          <w:p w14:paraId="251099D5" w14:textId="77777777" w:rsidR="00026291" w:rsidRDefault="00026291" w:rsidP="00742911">
            <w:pPr>
              <w:rPr>
                <w:rFonts w:ascii="Twinkl" w:hAnsi="Twinkl"/>
                <w:sz w:val="14"/>
                <w:szCs w:val="14"/>
              </w:rPr>
            </w:pPr>
          </w:p>
          <w:p w14:paraId="43E55BF4" w14:textId="77777777" w:rsidR="00742911" w:rsidRPr="00497876" w:rsidRDefault="00742911" w:rsidP="00742911">
            <w:pPr>
              <w:rPr>
                <w:rFonts w:ascii="Twinkl" w:hAnsi="Twinkl"/>
                <w:sz w:val="14"/>
                <w:szCs w:val="14"/>
              </w:rPr>
            </w:pPr>
            <w:r w:rsidRPr="00497876">
              <w:rPr>
                <w:rFonts w:ascii="Twinkl" w:hAnsi="Twinkl"/>
                <w:sz w:val="14"/>
                <w:szCs w:val="14"/>
              </w:rPr>
              <w:t xml:space="preserve">How to Help a Hedgehog and Protect a Polar Bear by Jess </w:t>
            </w:r>
            <w:proofErr w:type="gramStart"/>
            <w:r w:rsidRPr="00497876">
              <w:rPr>
                <w:rFonts w:ascii="Twinkl" w:hAnsi="Twinkl"/>
                <w:sz w:val="14"/>
                <w:szCs w:val="14"/>
              </w:rPr>
              <w:t>French</w:t>
            </w:r>
            <w:proofErr w:type="gramEnd"/>
          </w:p>
          <w:p w14:paraId="707B43CF" w14:textId="77777777" w:rsidR="00742911" w:rsidRPr="00497876" w:rsidRDefault="00742911" w:rsidP="00742911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D3522FF" w14:textId="77777777" w:rsidR="00D75D3D" w:rsidRPr="00DC7373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 w:rsidRPr="00DC7373">
              <w:rPr>
                <w:rFonts w:ascii="Twinkl" w:hAnsi="Twinkl"/>
                <w:sz w:val="14"/>
                <w:szCs w:val="14"/>
              </w:rPr>
              <w:t>Why Water’s Worth it Lori Harrison</w:t>
            </w:r>
          </w:p>
          <w:p w14:paraId="6A8C6335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26C6C88A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 w:rsidRPr="00D5123C">
              <w:rPr>
                <w:rFonts w:ascii="Twinkl" w:hAnsi="Twinkl"/>
                <w:b/>
                <w:sz w:val="14"/>
                <w:szCs w:val="14"/>
              </w:rPr>
              <w:t>Poetry Week:</w:t>
            </w:r>
            <w:r>
              <w:rPr>
                <w:rFonts w:ascii="Twinkl" w:hAnsi="Twinkl"/>
                <w:sz w:val="14"/>
                <w:szCs w:val="14"/>
              </w:rPr>
              <w:t xml:space="preserve"> Grace Nichols Collected Poems</w:t>
            </w:r>
          </w:p>
          <w:p w14:paraId="33081945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58BE3C50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Michael Rosen </w:t>
            </w:r>
          </w:p>
          <w:p w14:paraId="151CB782" w14:textId="77777777" w:rsidR="00D75D3D" w:rsidRPr="00C90B9D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</w:p>
          <w:p w14:paraId="09B8C607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626" w:type="dxa"/>
          </w:tcPr>
          <w:p w14:paraId="624658D9" w14:textId="77777777" w:rsidR="00497876" w:rsidRPr="00497876" w:rsidRDefault="00497876" w:rsidP="00B85D8A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497876">
              <w:rPr>
                <w:rFonts w:ascii="Twinkl" w:hAnsi="Twinkl"/>
                <w:b/>
                <w:sz w:val="14"/>
                <w:szCs w:val="14"/>
                <w:u w:val="single"/>
              </w:rPr>
              <w:t>Theme: Local History</w:t>
            </w:r>
          </w:p>
          <w:p w14:paraId="3FCB70E5" w14:textId="77777777" w:rsidR="00497876" w:rsidRPr="00497876" w:rsidRDefault="00497876" w:rsidP="00B85D8A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7AB6E8E4" w14:textId="77777777" w:rsidR="00497876" w:rsidRPr="00497876" w:rsidRDefault="00497876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497876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Books: </w:t>
            </w:r>
            <w:r w:rsidRPr="00497876">
              <w:rPr>
                <w:rFonts w:ascii="Twinkl" w:hAnsi="Twinkl"/>
                <w:sz w:val="14"/>
                <w:szCs w:val="14"/>
                <w:lang w:val="en-US"/>
              </w:rPr>
              <w:t xml:space="preserve">The Vile Victorians by Terry </w:t>
            </w:r>
            <w:proofErr w:type="spellStart"/>
            <w:r w:rsidRPr="00497876">
              <w:rPr>
                <w:rFonts w:ascii="Twinkl" w:hAnsi="Twinkl"/>
                <w:sz w:val="14"/>
                <w:szCs w:val="14"/>
                <w:lang w:val="en-US"/>
              </w:rPr>
              <w:t>Deary</w:t>
            </w:r>
            <w:proofErr w:type="spellEnd"/>
            <w:r w:rsidRPr="00497876">
              <w:rPr>
                <w:rFonts w:ascii="Twinkl" w:hAnsi="Twinkl"/>
                <w:sz w:val="14"/>
                <w:szCs w:val="14"/>
                <w:lang w:val="en-US"/>
              </w:rPr>
              <w:t xml:space="preserve"> (Horrible Histories)</w:t>
            </w:r>
          </w:p>
          <w:p w14:paraId="56115BA7" w14:textId="77777777" w:rsidR="00497876" w:rsidRPr="00497876" w:rsidRDefault="00497876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2F5F400" w14:textId="77777777" w:rsidR="00497876" w:rsidRPr="00497876" w:rsidRDefault="00497876" w:rsidP="00B85D8A">
            <w:pPr>
              <w:rPr>
                <w:rFonts w:ascii="Twinkl" w:eastAsia="Times New Roman" w:hAnsi="Twinkl" w:cs="Times New Roman"/>
                <w:sz w:val="14"/>
                <w:szCs w:val="14"/>
                <w:lang w:eastAsia="en-GB"/>
              </w:rPr>
            </w:pPr>
            <w:r w:rsidRPr="00497876">
              <w:rPr>
                <w:rFonts w:ascii="Twinkl" w:eastAsia="Times New Roman" w:hAnsi="Twinkl" w:cs="Times New Roman"/>
                <w:sz w:val="14"/>
                <w:szCs w:val="14"/>
                <w:lang w:eastAsia="en-GB"/>
              </w:rPr>
              <w:t>Bringing history alive through Local People and Places by Lynne Dixon and Alison Hales</w:t>
            </w:r>
          </w:p>
          <w:p w14:paraId="165C4822" w14:textId="77777777" w:rsidR="00D75D3D" w:rsidRPr="00497876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6D480B5A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7FE87513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D75D3D" w:rsidRPr="00ED3359" w14:paraId="7AF08B04" w14:textId="77777777" w:rsidTr="00B85D8A">
        <w:trPr>
          <w:trHeight w:val="561"/>
        </w:trPr>
        <w:tc>
          <w:tcPr>
            <w:tcW w:w="1228" w:type="dxa"/>
            <w:vMerge/>
          </w:tcPr>
          <w:p w14:paraId="2268FE7D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</w:tc>
        <w:tc>
          <w:tcPr>
            <w:tcW w:w="1899" w:type="dxa"/>
          </w:tcPr>
          <w:p w14:paraId="30F7B483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Reading</w:t>
            </w:r>
          </w:p>
          <w:p w14:paraId="29D4DAC9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(Word Reading &amp; Comprehension)</w:t>
            </w:r>
          </w:p>
        </w:tc>
        <w:tc>
          <w:tcPr>
            <w:tcW w:w="10823" w:type="dxa"/>
            <w:gridSpan w:val="6"/>
          </w:tcPr>
          <w:p w14:paraId="65DA18A6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For children who are working towards the expected standard w</w:t>
            </w:r>
            <w:r w:rsidRPr="00ED3359">
              <w:rPr>
                <w:rFonts w:ascii="Twinkl" w:hAnsi="Twinkl"/>
                <w:sz w:val="14"/>
                <w:szCs w:val="14"/>
              </w:rPr>
              <w:t>e use PM Benchmarking to assess the</w:t>
            </w:r>
            <w:r>
              <w:rPr>
                <w:rFonts w:ascii="Twinkl" w:hAnsi="Twinkl"/>
                <w:sz w:val="14"/>
                <w:szCs w:val="14"/>
              </w:rPr>
              <w:t>ir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 children’s word reading and comprehension ability</w:t>
            </w:r>
            <w:r>
              <w:rPr>
                <w:rFonts w:ascii="Twinkl" w:hAnsi="Twinkl"/>
                <w:sz w:val="14"/>
                <w:szCs w:val="14"/>
              </w:rPr>
              <w:t xml:space="preserve">. 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 Children are then given Oxford Reading Tree Reading books to match their ability </w:t>
            </w:r>
            <w:r>
              <w:rPr>
                <w:rFonts w:ascii="Twinkl" w:hAnsi="Twinkl"/>
                <w:sz w:val="14"/>
                <w:szCs w:val="14"/>
              </w:rPr>
              <w:t>We use NFER reading assessment to assess children’s reading comprehension ability.  We promote reading for pleasure and children have a free choice of books to take home.</w:t>
            </w:r>
          </w:p>
        </w:tc>
      </w:tr>
      <w:tr w:rsidR="00D75D3D" w:rsidRPr="00ED3359" w14:paraId="156C9C7F" w14:textId="77777777" w:rsidTr="00B85D8A">
        <w:trPr>
          <w:trHeight w:val="478"/>
        </w:trPr>
        <w:tc>
          <w:tcPr>
            <w:tcW w:w="1228" w:type="dxa"/>
            <w:vMerge/>
          </w:tcPr>
          <w:p w14:paraId="79121C2D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99" w:type="dxa"/>
          </w:tcPr>
          <w:p w14:paraId="46CFD0C6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Destination Reader</w:t>
            </w:r>
          </w:p>
        </w:tc>
        <w:tc>
          <w:tcPr>
            <w:tcW w:w="10823" w:type="dxa"/>
            <w:gridSpan w:val="6"/>
          </w:tcPr>
          <w:p w14:paraId="00D56411" w14:textId="7E27050B" w:rsidR="00D75D3D" w:rsidRPr="00497876" w:rsidRDefault="00D75D3D" w:rsidP="00B85D8A">
            <w:pPr>
              <w:rPr>
                <w:rFonts w:ascii="Twinkl" w:hAnsi="Twinkl"/>
                <w:sz w:val="15"/>
                <w:szCs w:val="15"/>
                <w:lang w:val="en-US"/>
              </w:rPr>
            </w:pPr>
            <w:r w:rsidRPr="001E4694">
              <w:rPr>
                <w:rFonts w:ascii="Twinkl" w:hAnsi="Twinkl"/>
                <w:sz w:val="14"/>
                <w:szCs w:val="14"/>
              </w:rPr>
              <w:t>Destination Reader allows children to access real books of a high quality that are engaging and exciting. As talk is made central, partner reading is continued and children are given ample opportunities to discuss books with their partners.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Children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practis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e</w:t>
            </w:r>
            <w:proofErr w:type="spellEnd"/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 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seven key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skills</w:t>
            </w:r>
            <w:r>
              <w:rPr>
                <w:rFonts w:ascii="Twinkl" w:hAnsi="Twinkl"/>
                <w:sz w:val="15"/>
                <w:szCs w:val="15"/>
                <w:lang w:val="en-US"/>
              </w:rPr>
              <w:t> identified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 xml:space="preserve"> within the national curriculum to support the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reading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and understanding of a wide range of texts.</w:t>
            </w:r>
            <w:r>
              <w:rPr>
                <w:rFonts w:ascii="Twinkl" w:hAnsi="Twinkl"/>
                <w:sz w:val="15"/>
                <w:szCs w:val="15"/>
                <w:lang w:val="en-US"/>
              </w:rPr>
              <w:t xml:space="preserve"> The skills are: predicting, making connections, asking questions, evaluating, inferring, </w:t>
            </w:r>
            <w:proofErr w:type="spellStart"/>
            <w:r>
              <w:rPr>
                <w:rFonts w:ascii="Twinkl" w:hAnsi="Twinkl"/>
                <w:sz w:val="15"/>
                <w:szCs w:val="15"/>
                <w:lang w:val="en-US"/>
              </w:rPr>
              <w:t>summarising</w:t>
            </w:r>
            <w:proofErr w:type="spellEnd"/>
            <w:r>
              <w:rPr>
                <w:rFonts w:ascii="Twinkl" w:hAnsi="Twinkl"/>
                <w:sz w:val="15"/>
                <w:szCs w:val="15"/>
                <w:lang w:val="en-US"/>
              </w:rPr>
              <w:t>, c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larifying.</w:t>
            </w:r>
          </w:p>
        </w:tc>
      </w:tr>
      <w:tr w:rsidR="00D75D3D" w:rsidRPr="00ED3359" w14:paraId="0371EE2C" w14:textId="77777777" w:rsidTr="00B85D8A">
        <w:trPr>
          <w:trHeight w:val="1162"/>
        </w:trPr>
        <w:tc>
          <w:tcPr>
            <w:tcW w:w="1228" w:type="dxa"/>
            <w:vMerge/>
          </w:tcPr>
          <w:p w14:paraId="02BC7016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99" w:type="dxa"/>
          </w:tcPr>
          <w:p w14:paraId="1224A099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ting (Transcription-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Spelling)</w:t>
            </w:r>
          </w:p>
        </w:tc>
        <w:tc>
          <w:tcPr>
            <w:tcW w:w="1913" w:type="dxa"/>
          </w:tcPr>
          <w:p w14:paraId="2231C9F1" w14:textId="77777777" w:rsidR="00D75D3D" w:rsidRPr="00996E6E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96E6E">
              <w:rPr>
                <w:rFonts w:ascii="Twinkl" w:hAnsi="Twinkl"/>
                <w:sz w:val="14"/>
                <w:szCs w:val="14"/>
                <w:lang w:val="en-US"/>
              </w:rPr>
              <w:t>-spelling lots of homophones correctly</w:t>
            </w:r>
            <w:r w:rsidRPr="00996E6E">
              <w:rPr>
                <w:rFonts w:ascii="Twinkl" w:hAnsi="Twinkl"/>
                <w:sz w:val="14"/>
                <w:szCs w:val="14"/>
                <w:lang w:val="en-US"/>
              </w:rPr>
              <w:br/>
            </w:r>
          </w:p>
          <w:p w14:paraId="6B1CE5CC" w14:textId="77777777" w:rsidR="00D75D3D" w:rsidRPr="00D97E05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a</w:t>
            </w:r>
            <w:r w:rsidRPr="00D97E05">
              <w:rPr>
                <w:rFonts w:ascii="Twinkl" w:hAnsi="Twinkl"/>
                <w:sz w:val="14"/>
                <w:szCs w:val="14"/>
                <w:lang w:val="en-US"/>
              </w:rPr>
              <w:t xml:space="preserve">dding suffixes beginning with vowel letters to words of more than one syllable </w:t>
            </w:r>
          </w:p>
          <w:p w14:paraId="4EA8B0FE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22" w:type="dxa"/>
          </w:tcPr>
          <w:p w14:paraId="389AD578" w14:textId="77777777" w:rsidR="00D75D3D" w:rsidRPr="00996E6E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96E6E">
              <w:rPr>
                <w:rFonts w:ascii="Twinkl" w:hAnsi="Twinkl"/>
                <w:sz w:val="14"/>
                <w:szCs w:val="14"/>
                <w:lang w:val="en-US"/>
              </w:rPr>
              <w:t xml:space="preserve">using the possessive apostrophe with regular and irregular plurals. </w:t>
            </w:r>
          </w:p>
          <w:p w14:paraId="3206916C" w14:textId="609E9823" w:rsidR="00D75D3D" w:rsidRPr="00497876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8238E">
              <w:rPr>
                <w:rFonts w:ascii="Twinkl" w:hAnsi="Twinkl"/>
                <w:sz w:val="14"/>
                <w:szCs w:val="14"/>
                <w:lang w:val="en-US"/>
              </w:rPr>
              <w:t xml:space="preserve">The /ɪ/ sound spelt y elsewhere than at the end of words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(for example: myth, pyramid, gym)</w:t>
            </w:r>
          </w:p>
        </w:tc>
        <w:tc>
          <w:tcPr>
            <w:tcW w:w="1888" w:type="dxa"/>
          </w:tcPr>
          <w:p w14:paraId="4105B998" w14:textId="77777777" w:rsidR="00D75D3D" w:rsidRPr="00135604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35604">
              <w:rPr>
                <w:rFonts w:ascii="Twinkl" w:hAnsi="Twinkl"/>
                <w:bCs/>
                <w:sz w:val="14"/>
                <w:szCs w:val="14"/>
                <w:lang w:val="en-US"/>
              </w:rPr>
              <w:t>Prefixes: un–</w:t>
            </w:r>
            <w:r w:rsidRPr="00135604">
              <w:rPr>
                <w:rFonts w:ascii="Twinkl" w:hAnsi="Twinkl"/>
                <w:sz w:val="14"/>
                <w:szCs w:val="14"/>
                <w:lang w:val="en-US"/>
              </w:rPr>
              <w:t xml:space="preserve">, the prefixes </w:t>
            </w:r>
            <w:r w:rsidRPr="00135604">
              <w:rPr>
                <w:rFonts w:ascii="Twinkl" w:hAnsi="Twinkl"/>
                <w:bCs/>
                <w:sz w:val="14"/>
                <w:szCs w:val="14"/>
                <w:lang w:val="en-US"/>
              </w:rPr>
              <w:t xml:space="preserve">dis– </w:t>
            </w:r>
            <w:r w:rsidRPr="00135604">
              <w:rPr>
                <w:rFonts w:ascii="Twinkl" w:hAnsi="Twinkl"/>
                <w:sz w:val="14"/>
                <w:szCs w:val="14"/>
                <w:lang w:val="en-US"/>
              </w:rPr>
              <w:t xml:space="preserve">and </w:t>
            </w:r>
            <w:proofErr w:type="spellStart"/>
            <w:r w:rsidRPr="00135604">
              <w:rPr>
                <w:rFonts w:ascii="Twinkl" w:hAnsi="Twinkl"/>
                <w:bCs/>
                <w:sz w:val="14"/>
                <w:szCs w:val="14"/>
                <w:lang w:val="en-US"/>
              </w:rPr>
              <w:t>mis</w:t>
            </w:r>
            <w:proofErr w:type="spellEnd"/>
            <w:r w:rsidRPr="00135604">
              <w:rPr>
                <w:rFonts w:ascii="Twinkl" w:hAnsi="Twinkl"/>
                <w:bCs/>
                <w:sz w:val="14"/>
                <w:szCs w:val="14"/>
                <w:lang w:val="en-US"/>
              </w:rPr>
              <w:t xml:space="preserve">– </w:t>
            </w:r>
            <w:r w:rsidRPr="00135604">
              <w:rPr>
                <w:rFonts w:ascii="Twinkl" w:hAnsi="Twinkl"/>
                <w:sz w:val="14"/>
                <w:szCs w:val="14"/>
                <w:lang w:val="en-US"/>
              </w:rPr>
              <w:t xml:space="preserve">have negative meanings. </w:t>
            </w:r>
          </w:p>
          <w:p w14:paraId="13ADE280" w14:textId="77777777" w:rsidR="00D75D3D" w:rsidRPr="00135604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35604">
              <w:rPr>
                <w:rFonts w:ascii="Twinkl" w:hAnsi="Twinkl"/>
                <w:sz w:val="14"/>
                <w:szCs w:val="14"/>
                <w:lang w:val="en-US"/>
              </w:rPr>
              <w:t>The suffix –</w:t>
            </w:r>
            <w:proofErr w:type="spellStart"/>
            <w:r w:rsidRPr="00135604">
              <w:rPr>
                <w:rFonts w:ascii="Twinkl" w:hAnsi="Twinkl"/>
                <w:sz w:val="14"/>
                <w:szCs w:val="14"/>
                <w:lang w:val="en-US"/>
              </w:rPr>
              <w:t>ation</w:t>
            </w:r>
            <w:proofErr w:type="spellEnd"/>
            <w:r w:rsidRPr="00135604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10D6F9A8" w14:textId="77777777" w:rsidR="00D75D3D" w:rsidRPr="00135604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35604">
              <w:rPr>
                <w:rFonts w:ascii="Twinkl" w:hAnsi="Twinkl"/>
                <w:sz w:val="14"/>
                <w:szCs w:val="14"/>
                <w:lang w:val="en-US"/>
              </w:rPr>
              <w:t>The suffix –</w:t>
            </w:r>
            <w:proofErr w:type="spellStart"/>
            <w:r w:rsidRPr="00135604">
              <w:rPr>
                <w:rFonts w:ascii="Twinkl" w:hAnsi="Twinkl"/>
                <w:sz w:val="14"/>
                <w:szCs w:val="14"/>
                <w:lang w:val="en-US"/>
              </w:rPr>
              <w:t>ly</w:t>
            </w:r>
            <w:proofErr w:type="spellEnd"/>
            <w:r w:rsidRPr="00135604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22345B81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4" w:type="dxa"/>
          </w:tcPr>
          <w:p w14:paraId="4DA7238D" w14:textId="77777777" w:rsidR="00D75D3D" w:rsidRPr="00E0673B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0673B">
              <w:rPr>
                <w:rFonts w:ascii="Twinkl" w:hAnsi="Twinkl"/>
                <w:sz w:val="14"/>
                <w:szCs w:val="14"/>
                <w:lang w:val="en-US"/>
              </w:rPr>
              <w:t>The suffix –</w:t>
            </w:r>
            <w:proofErr w:type="spellStart"/>
            <w:r w:rsidRPr="00E0673B">
              <w:rPr>
                <w:rFonts w:ascii="Twinkl" w:hAnsi="Twinkl"/>
                <w:sz w:val="14"/>
                <w:szCs w:val="14"/>
                <w:lang w:val="en-US"/>
              </w:rPr>
              <w:t>ous</w:t>
            </w:r>
            <w:proofErr w:type="spellEnd"/>
            <w:r w:rsidRPr="00E0673B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200BC133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DFF875B" w14:textId="77777777" w:rsidR="00D75D3D" w:rsidRPr="00E0673B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0673B">
              <w:rPr>
                <w:rFonts w:ascii="Twinkl" w:hAnsi="Twinkl"/>
                <w:sz w:val="14"/>
                <w:szCs w:val="14"/>
                <w:lang w:val="en-US"/>
              </w:rPr>
              <w:t xml:space="preserve">Homophones and near-homophones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(English Appendix 1 NC)</w:t>
            </w:r>
          </w:p>
          <w:p w14:paraId="4EF8B95A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626" w:type="dxa"/>
          </w:tcPr>
          <w:p w14:paraId="36EB7EF2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4 curriculum</w:t>
            </w:r>
          </w:p>
        </w:tc>
      </w:tr>
      <w:tr w:rsidR="00D75D3D" w:rsidRPr="00ED3359" w14:paraId="4CE6D68E" w14:textId="77777777" w:rsidTr="00B85D8A">
        <w:trPr>
          <w:trHeight w:val="198"/>
        </w:trPr>
        <w:tc>
          <w:tcPr>
            <w:tcW w:w="1228" w:type="dxa"/>
            <w:vMerge/>
          </w:tcPr>
          <w:p w14:paraId="44CAC2CF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99" w:type="dxa"/>
          </w:tcPr>
          <w:p w14:paraId="31A05B36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Transcription 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Handwriting)</w:t>
            </w:r>
          </w:p>
        </w:tc>
        <w:tc>
          <w:tcPr>
            <w:tcW w:w="10823" w:type="dxa"/>
            <w:gridSpan w:val="6"/>
          </w:tcPr>
          <w:p w14:paraId="6FD8028D" w14:textId="77777777" w:rsidR="00D75D3D" w:rsidRPr="00ED3359" w:rsidRDefault="00D75D3D" w:rsidP="00B85D8A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A911E9">
              <w:rPr>
                <w:rFonts w:ascii="Twinkl" w:hAnsi="Twinkl"/>
                <w:sz w:val="14"/>
                <w:szCs w:val="14"/>
              </w:rPr>
              <w:t xml:space="preserve">We follow the </w:t>
            </w:r>
            <w:proofErr w:type="spellStart"/>
            <w:r w:rsidRPr="00A911E9">
              <w:rPr>
                <w:rFonts w:ascii="Twinkl" w:hAnsi="Twinkl"/>
                <w:sz w:val="14"/>
                <w:szCs w:val="14"/>
              </w:rPr>
              <w:t>Penpals</w:t>
            </w:r>
            <w:proofErr w:type="spellEnd"/>
            <w:r w:rsidRPr="00A911E9">
              <w:rPr>
                <w:rFonts w:ascii="Twinkl" w:hAnsi="Twinkl"/>
                <w:sz w:val="14"/>
                <w:szCs w:val="14"/>
              </w:rPr>
              <w:t xml:space="preserve"> handwriting programme</w:t>
            </w:r>
          </w:p>
        </w:tc>
      </w:tr>
      <w:tr w:rsidR="00D75D3D" w:rsidRPr="00ED3359" w14:paraId="2D92FE50" w14:textId="77777777" w:rsidTr="00B85D8A">
        <w:trPr>
          <w:trHeight w:val="994"/>
        </w:trPr>
        <w:tc>
          <w:tcPr>
            <w:tcW w:w="1228" w:type="dxa"/>
            <w:vMerge/>
          </w:tcPr>
          <w:p w14:paraId="4EC1DED3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99" w:type="dxa"/>
          </w:tcPr>
          <w:p w14:paraId="7E8E2B4D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(Composition)</w:t>
            </w:r>
          </w:p>
        </w:tc>
        <w:tc>
          <w:tcPr>
            <w:tcW w:w="1913" w:type="dxa"/>
          </w:tcPr>
          <w:p w14:paraId="2F202355" w14:textId="77777777" w:rsidR="00D75D3D" w:rsidRPr="007D7CE0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7D7CE0">
              <w:rPr>
                <w:rFonts w:ascii="Twinkl" w:hAnsi="Twinkl"/>
                <w:sz w:val="14"/>
                <w:szCs w:val="14"/>
                <w:lang w:val="en-US"/>
              </w:rPr>
              <w:t>organising</w:t>
            </w:r>
            <w:proofErr w:type="spellEnd"/>
            <w:r w:rsidRPr="007D7CE0">
              <w:rPr>
                <w:rFonts w:ascii="Twinkl" w:hAnsi="Twinkl"/>
                <w:sz w:val="14"/>
                <w:szCs w:val="14"/>
                <w:lang w:val="en-US"/>
              </w:rPr>
              <w:t xml:space="preserve"> paragraphs around a theme </w:t>
            </w:r>
          </w:p>
          <w:p w14:paraId="7EF83F2E" w14:textId="77777777" w:rsidR="00D75D3D" w:rsidRPr="00857338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857338">
              <w:rPr>
                <w:rFonts w:ascii="Twinkl" w:hAnsi="Twinkl"/>
                <w:sz w:val="14"/>
                <w:szCs w:val="14"/>
                <w:lang w:val="en-US"/>
              </w:rPr>
              <w:t>creativ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e writing and setting description</w:t>
            </w:r>
          </w:p>
          <w:p w14:paraId="149CB69C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poetry writing</w:t>
            </w:r>
          </w:p>
        </w:tc>
        <w:tc>
          <w:tcPr>
            <w:tcW w:w="1922" w:type="dxa"/>
          </w:tcPr>
          <w:p w14:paraId="5B162B8D" w14:textId="77777777" w:rsidR="00D75D3D" w:rsidRPr="008B06F5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8B06F5">
              <w:rPr>
                <w:rFonts w:ascii="Twinkl" w:hAnsi="Twinkl"/>
                <w:sz w:val="14"/>
                <w:szCs w:val="14"/>
                <w:lang w:val="en-US"/>
              </w:rPr>
              <w:t xml:space="preserve">non-narrative material, using simple </w:t>
            </w:r>
            <w:proofErr w:type="spellStart"/>
            <w:r w:rsidRPr="008B06F5">
              <w:rPr>
                <w:rFonts w:ascii="Twinkl" w:hAnsi="Twinkl"/>
                <w:sz w:val="14"/>
                <w:szCs w:val="14"/>
                <w:lang w:val="en-US"/>
              </w:rPr>
              <w:t>organisational</w:t>
            </w:r>
            <w:proofErr w:type="spellEnd"/>
            <w:r w:rsidRPr="008B06F5">
              <w:rPr>
                <w:rFonts w:ascii="Twinkl" w:hAnsi="Twinkl"/>
                <w:sz w:val="14"/>
                <w:szCs w:val="14"/>
                <w:lang w:val="en-US"/>
              </w:rPr>
              <w:t xml:space="preserve"> devices [for example, headings and sub-headings] </w:t>
            </w:r>
          </w:p>
          <w:p w14:paraId="7C91B8DB" w14:textId="77777777" w:rsidR="00D75D3D" w:rsidRPr="00343927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D6D9454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88" w:type="dxa"/>
          </w:tcPr>
          <w:p w14:paraId="6FE05492" w14:textId="77777777" w:rsidR="00D75D3D" w:rsidRPr="002F3B13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F3B13">
              <w:rPr>
                <w:rFonts w:ascii="Twinkl" w:hAnsi="Twinkl"/>
                <w:sz w:val="14"/>
                <w:szCs w:val="14"/>
                <w:lang w:val="en-US"/>
              </w:rPr>
              <w:t xml:space="preserve">creating settings, characters and plot </w:t>
            </w:r>
          </w:p>
          <w:p w14:paraId="0C196133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44B29441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evaluate and editing skills </w:t>
            </w:r>
          </w:p>
          <w:p w14:paraId="000C24C2" w14:textId="39F973C1" w:rsidR="00D75D3D" w:rsidRPr="00497876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43927">
              <w:rPr>
                <w:rFonts w:ascii="Twinkl" w:hAnsi="Twinkl"/>
                <w:sz w:val="14"/>
                <w:szCs w:val="14"/>
                <w:lang w:val="en-US"/>
              </w:rPr>
              <w:t>proof-read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ing</w:t>
            </w:r>
            <w:r w:rsidRPr="00343927">
              <w:rPr>
                <w:rFonts w:ascii="Twinkl" w:hAnsi="Twinkl"/>
                <w:sz w:val="14"/>
                <w:szCs w:val="14"/>
                <w:lang w:val="en-US"/>
              </w:rPr>
              <w:t xml:space="preserve"> for spelling and punctuation errors </w:t>
            </w:r>
          </w:p>
        </w:tc>
        <w:tc>
          <w:tcPr>
            <w:tcW w:w="1914" w:type="dxa"/>
          </w:tcPr>
          <w:p w14:paraId="6CEACA97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evaluate and editing skills </w:t>
            </w:r>
          </w:p>
          <w:p w14:paraId="066AF1D4" w14:textId="77777777" w:rsidR="00D75D3D" w:rsidRPr="00343927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43927">
              <w:rPr>
                <w:rFonts w:ascii="Twinkl" w:hAnsi="Twinkl"/>
                <w:sz w:val="14"/>
                <w:szCs w:val="14"/>
                <w:lang w:val="en-US"/>
              </w:rPr>
              <w:t>proof-read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ing</w:t>
            </w:r>
            <w:r w:rsidRPr="00343927">
              <w:rPr>
                <w:rFonts w:ascii="Twinkl" w:hAnsi="Twinkl"/>
                <w:sz w:val="14"/>
                <w:szCs w:val="14"/>
                <w:lang w:val="en-US"/>
              </w:rPr>
              <w:t xml:space="preserve"> for spelling and punctuation errors </w:t>
            </w:r>
          </w:p>
          <w:p w14:paraId="4FCC1394" w14:textId="77777777" w:rsidR="00D75D3D" w:rsidRPr="00343927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317EC21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560" w:type="dxa"/>
          </w:tcPr>
          <w:p w14:paraId="27CAA640" w14:textId="77777777" w:rsidR="00D75D3D" w:rsidRPr="00857338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857338">
              <w:rPr>
                <w:rFonts w:ascii="Twinkl" w:hAnsi="Twinkl"/>
                <w:sz w:val="14"/>
                <w:szCs w:val="14"/>
                <w:lang w:val="en-US"/>
              </w:rPr>
              <w:t>creativ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e writing and setting description</w:t>
            </w:r>
          </w:p>
          <w:p w14:paraId="2458AD2F" w14:textId="77777777" w:rsidR="00D75D3D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  <w:p w14:paraId="60E90EBD" w14:textId="3F3F6589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editing skills and evaluating with a partner and a teacher</w:t>
            </w:r>
          </w:p>
        </w:tc>
        <w:tc>
          <w:tcPr>
            <w:tcW w:w="1626" w:type="dxa"/>
          </w:tcPr>
          <w:p w14:paraId="67E74019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4 curriculum</w:t>
            </w:r>
          </w:p>
        </w:tc>
      </w:tr>
      <w:tr w:rsidR="00D75D3D" w:rsidRPr="00ED3359" w14:paraId="2652A63A" w14:textId="77777777" w:rsidTr="00B85D8A">
        <w:trPr>
          <w:trHeight w:val="478"/>
        </w:trPr>
        <w:tc>
          <w:tcPr>
            <w:tcW w:w="1228" w:type="dxa"/>
            <w:vMerge/>
          </w:tcPr>
          <w:p w14:paraId="7B3306DF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99" w:type="dxa"/>
          </w:tcPr>
          <w:p w14:paraId="6F9B819C" w14:textId="77777777" w:rsidR="00D75D3D" w:rsidRPr="00ED3359" w:rsidRDefault="00D75D3D" w:rsidP="00B85D8A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(Vocabulary, grammar and punctuation )</w:t>
            </w:r>
          </w:p>
        </w:tc>
        <w:tc>
          <w:tcPr>
            <w:tcW w:w="1913" w:type="dxa"/>
          </w:tcPr>
          <w:p w14:paraId="3BC82D64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Revision of work done in previous years</w:t>
            </w:r>
          </w:p>
          <w:p w14:paraId="09822894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15B61AC" w14:textId="77777777" w:rsidR="00D75D3D" w:rsidRPr="0011210A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1210A">
              <w:rPr>
                <w:rFonts w:ascii="Twinkl" w:hAnsi="Twinkl"/>
                <w:sz w:val="14"/>
                <w:szCs w:val="14"/>
                <w:lang w:val="en-US"/>
              </w:rPr>
              <w:t xml:space="preserve">Use of capital letters, full stops, question marks and exclamation marks to demarcate </w:t>
            </w:r>
            <w:r w:rsidRPr="0011210A">
              <w:rPr>
                <w:rFonts w:ascii="Twinkl" w:hAnsi="Twinkl"/>
                <w:bCs/>
                <w:sz w:val="14"/>
                <w:szCs w:val="14"/>
                <w:lang w:val="en-US"/>
              </w:rPr>
              <w:t xml:space="preserve">sentences </w:t>
            </w:r>
          </w:p>
          <w:p w14:paraId="09BEEE43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1210A">
              <w:rPr>
                <w:rFonts w:ascii="Twinkl" w:hAnsi="Twinkl"/>
                <w:sz w:val="14"/>
                <w:szCs w:val="14"/>
                <w:lang w:val="en-US"/>
              </w:rPr>
              <w:t xml:space="preserve">Commas to separate items in a list </w:t>
            </w:r>
          </w:p>
          <w:p w14:paraId="7CC72D98" w14:textId="77777777" w:rsidR="00D75D3D" w:rsidRPr="0011210A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002D1556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22" w:type="dxa"/>
          </w:tcPr>
          <w:p w14:paraId="5C98341F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Noun phrases</w:t>
            </w:r>
          </w:p>
          <w:p w14:paraId="561465B9" w14:textId="77777777" w:rsidR="00D75D3D" w:rsidRPr="0038569B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Formation of </w:t>
            </w:r>
            <w:r w:rsidRPr="0038569B">
              <w:rPr>
                <w:rFonts w:ascii="Twinkl" w:hAnsi="Twinkl"/>
                <w:b/>
                <w:bCs/>
                <w:sz w:val="14"/>
                <w:szCs w:val="14"/>
                <w:lang w:val="en-US"/>
              </w:rPr>
              <w:t xml:space="preserve">nouns 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using </w:t>
            </w:r>
            <w:r w:rsidRPr="0038569B">
              <w:rPr>
                <w:rFonts w:ascii="Twinkl" w:hAnsi="Twinkl"/>
                <w:b/>
                <w:bCs/>
                <w:sz w:val="14"/>
                <w:szCs w:val="14"/>
                <w:lang w:val="en-US"/>
              </w:rPr>
              <w:t xml:space="preserve">suffixes 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>such as –</w:t>
            </w:r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ness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, </w:t>
            </w:r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</w:t>
            </w:r>
            <w:proofErr w:type="spellStart"/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er</w:t>
            </w:r>
            <w:proofErr w:type="spellEnd"/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and by compounding [for example, </w:t>
            </w:r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whiteboard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, </w:t>
            </w:r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superman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] </w:t>
            </w:r>
          </w:p>
          <w:p w14:paraId="678F57FA" w14:textId="77777777" w:rsidR="00D75D3D" w:rsidRPr="0038569B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Formation of </w:t>
            </w:r>
            <w:r w:rsidRPr="0038569B">
              <w:rPr>
                <w:rFonts w:ascii="Twinkl" w:hAnsi="Twinkl"/>
                <w:b/>
                <w:bCs/>
                <w:sz w:val="14"/>
                <w:szCs w:val="14"/>
                <w:lang w:val="en-US"/>
              </w:rPr>
              <w:t xml:space="preserve">adjectives 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using </w:t>
            </w:r>
            <w:r w:rsidRPr="0038569B">
              <w:rPr>
                <w:rFonts w:ascii="Twinkl" w:hAnsi="Twinkl"/>
                <w:b/>
                <w:bCs/>
                <w:sz w:val="14"/>
                <w:szCs w:val="14"/>
                <w:lang w:val="en-US"/>
              </w:rPr>
              <w:t xml:space="preserve">suffixes </w:t>
            </w:r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such as </w:t>
            </w:r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</w:t>
            </w:r>
            <w:proofErr w:type="spellStart"/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ful</w:t>
            </w:r>
            <w:proofErr w:type="spellEnd"/>
            <w:r w:rsidRPr="0038569B">
              <w:rPr>
                <w:rFonts w:ascii="Twinkl" w:hAnsi="Twinkl"/>
                <w:sz w:val="14"/>
                <w:szCs w:val="14"/>
                <w:lang w:val="en-US"/>
              </w:rPr>
              <w:t xml:space="preserve">, </w:t>
            </w:r>
            <w:r w:rsidRPr="0038569B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–less</w:t>
            </w:r>
          </w:p>
          <w:p w14:paraId="012EEFA2" w14:textId="77777777" w:rsidR="00D75D3D" w:rsidRPr="0046404C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00ABDD37" w14:textId="77777777" w:rsidR="00D75D3D" w:rsidRPr="00E17872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Contractions.</w:t>
            </w:r>
          </w:p>
          <w:p w14:paraId="5C5245C5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88" w:type="dxa"/>
          </w:tcPr>
          <w:p w14:paraId="5B4B8425" w14:textId="77777777" w:rsidR="00D75D3D" w:rsidRPr="004B4F16" w:rsidRDefault="00D75D3D" w:rsidP="00B85D8A">
            <w:pPr>
              <w:rPr>
                <w:rFonts w:ascii="Twinkl" w:hAnsi="Twinkl"/>
                <w:bCs/>
                <w:sz w:val="14"/>
                <w:szCs w:val="14"/>
                <w:lang w:val="en-US"/>
              </w:rPr>
            </w:pPr>
            <w:r w:rsidRPr="004B4F16">
              <w:rPr>
                <w:rFonts w:ascii="Twinkl" w:hAnsi="Twinkl"/>
                <w:bCs/>
                <w:sz w:val="14"/>
                <w:szCs w:val="14"/>
                <w:lang w:val="en-US"/>
              </w:rPr>
              <w:t xml:space="preserve">Fronted adverbials </w:t>
            </w:r>
          </w:p>
          <w:p w14:paraId="7B196E68" w14:textId="77777777" w:rsidR="00D75D3D" w:rsidRPr="004B4F16" w:rsidRDefault="00D75D3D" w:rsidP="00B85D8A">
            <w:pPr>
              <w:rPr>
                <w:rFonts w:ascii="Twinkl" w:hAnsi="Twinkl"/>
                <w:bCs/>
                <w:sz w:val="14"/>
                <w:szCs w:val="14"/>
                <w:lang w:val="en-US"/>
              </w:rPr>
            </w:pPr>
          </w:p>
          <w:p w14:paraId="19AD8C5C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P</w:t>
            </w:r>
            <w:r w:rsidRPr="004B4F16">
              <w:rPr>
                <w:rFonts w:ascii="Twinkl" w:hAnsi="Twinkl"/>
                <w:sz w:val="14"/>
                <w:szCs w:val="14"/>
                <w:lang w:val="en-US"/>
              </w:rPr>
              <w:t xml:space="preserve">aragraphs to </w:t>
            </w:r>
            <w:proofErr w:type="spellStart"/>
            <w:r w:rsidRPr="004B4F16">
              <w:rPr>
                <w:rFonts w:ascii="Twinkl" w:hAnsi="Twinkl"/>
                <w:sz w:val="14"/>
                <w:szCs w:val="14"/>
                <w:lang w:val="en-US"/>
              </w:rPr>
              <w:t>organise</w:t>
            </w:r>
            <w:proofErr w:type="spellEnd"/>
            <w:r w:rsidRPr="004B4F16">
              <w:rPr>
                <w:rFonts w:ascii="Twinkl" w:hAnsi="Twinkl"/>
                <w:sz w:val="14"/>
                <w:szCs w:val="14"/>
                <w:lang w:val="en-US"/>
              </w:rPr>
              <w:t xml:space="preserve"> ideas around a theme </w:t>
            </w:r>
          </w:p>
          <w:p w14:paraId="31EE7393" w14:textId="77777777" w:rsidR="00D75D3D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3D49330" w14:textId="77777777" w:rsidR="00D75D3D" w:rsidRPr="004B4F16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Pronoun and noun</w:t>
            </w:r>
          </w:p>
          <w:p w14:paraId="2D1F688A" w14:textId="77777777" w:rsidR="00D75D3D" w:rsidRPr="0046404C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8FA3047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4" w:type="dxa"/>
          </w:tcPr>
          <w:p w14:paraId="211AEBD6" w14:textId="77777777" w:rsidR="00D75D3D" w:rsidRPr="009C1DCE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C1DCE">
              <w:rPr>
                <w:rFonts w:ascii="Twinkl" w:hAnsi="Twinkl"/>
                <w:sz w:val="14"/>
                <w:szCs w:val="14"/>
                <w:lang w:val="en-US"/>
              </w:rPr>
              <w:t>determiner</w:t>
            </w:r>
            <w:r w:rsidRPr="009C1DCE">
              <w:rPr>
                <w:rFonts w:ascii="Twinkl" w:hAnsi="Twinkl"/>
                <w:sz w:val="14"/>
                <w:szCs w:val="14"/>
                <w:lang w:val="en-US"/>
              </w:rPr>
              <w:br/>
              <w:t xml:space="preserve">pronoun, possessive pronoun adverbial </w:t>
            </w:r>
          </w:p>
          <w:p w14:paraId="20D634A1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560" w:type="dxa"/>
          </w:tcPr>
          <w:p w14:paraId="54ADCDB1" w14:textId="77777777" w:rsidR="00D75D3D" w:rsidRPr="000F213F" w:rsidRDefault="00D75D3D" w:rsidP="00B85D8A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F213F">
              <w:rPr>
                <w:rFonts w:ascii="Twinkl" w:hAnsi="Twinkl"/>
                <w:bCs/>
                <w:sz w:val="14"/>
                <w:szCs w:val="14"/>
                <w:lang w:val="en-US"/>
              </w:rPr>
              <w:t xml:space="preserve">Apostrophes </w:t>
            </w:r>
            <w:r w:rsidRPr="000F213F">
              <w:rPr>
                <w:rFonts w:ascii="Twinkl" w:hAnsi="Twinkl"/>
                <w:sz w:val="14"/>
                <w:szCs w:val="14"/>
                <w:lang w:val="en-US"/>
              </w:rPr>
              <w:t xml:space="preserve">to mark </w:t>
            </w:r>
            <w:r w:rsidRPr="000F213F">
              <w:rPr>
                <w:rFonts w:ascii="Twinkl" w:hAnsi="Twinkl"/>
                <w:bCs/>
                <w:sz w:val="14"/>
                <w:szCs w:val="14"/>
                <w:lang w:val="en-US"/>
              </w:rPr>
              <w:t xml:space="preserve">plural </w:t>
            </w:r>
            <w:r w:rsidRPr="000F213F">
              <w:rPr>
                <w:rFonts w:ascii="Twinkl" w:hAnsi="Twinkl"/>
                <w:sz w:val="14"/>
                <w:szCs w:val="14"/>
                <w:lang w:val="en-US"/>
              </w:rPr>
              <w:t xml:space="preserve">possession [for example, </w:t>
            </w:r>
            <w:r w:rsidRPr="000F213F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the girl’s name</w:t>
            </w:r>
            <w:r w:rsidRPr="000F213F">
              <w:rPr>
                <w:rFonts w:ascii="Twinkl" w:hAnsi="Twinkl"/>
                <w:sz w:val="14"/>
                <w:szCs w:val="14"/>
                <w:lang w:val="en-US"/>
              </w:rPr>
              <w:t xml:space="preserve">, </w:t>
            </w:r>
            <w:r w:rsidRPr="000F213F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the girls’ names</w:t>
            </w:r>
            <w:r w:rsidRPr="000F213F">
              <w:rPr>
                <w:rFonts w:ascii="Twinkl" w:hAnsi="Twinkl"/>
                <w:sz w:val="14"/>
                <w:szCs w:val="14"/>
                <w:lang w:val="en-US"/>
              </w:rPr>
              <w:t xml:space="preserve">] </w:t>
            </w:r>
          </w:p>
          <w:p w14:paraId="2AB8EAE6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626" w:type="dxa"/>
          </w:tcPr>
          <w:p w14:paraId="13184D1A" w14:textId="77777777" w:rsidR="00D75D3D" w:rsidRPr="00ED3359" w:rsidRDefault="00D75D3D" w:rsidP="00B85D8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4 curriculum and grammar from English Appendix 2 in NC document.</w:t>
            </w:r>
          </w:p>
        </w:tc>
      </w:tr>
      <w:bookmarkEnd w:id="0"/>
    </w:tbl>
    <w:p w14:paraId="4BBFD95C" w14:textId="77777777" w:rsidR="00051DB1" w:rsidRDefault="00051DB1"/>
    <w:sectPr w:rsidR="00051DB1" w:rsidSect="00D75D3D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90D79" w14:textId="77777777" w:rsidR="00FB12BC" w:rsidRDefault="00FB12BC" w:rsidP="00B85D8A">
      <w:r>
        <w:separator/>
      </w:r>
    </w:p>
  </w:endnote>
  <w:endnote w:type="continuationSeparator" w:id="0">
    <w:p w14:paraId="7E54539F" w14:textId="77777777" w:rsidR="00FB12BC" w:rsidRDefault="00FB12BC" w:rsidP="00B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ink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92A79" w14:textId="77777777" w:rsidR="00FB12BC" w:rsidRDefault="00FB12BC" w:rsidP="00B85D8A">
      <w:r>
        <w:separator/>
      </w:r>
    </w:p>
  </w:footnote>
  <w:footnote w:type="continuationSeparator" w:id="0">
    <w:p w14:paraId="1F1A2756" w14:textId="77777777" w:rsidR="00FB12BC" w:rsidRDefault="00FB12BC" w:rsidP="00B85D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65BE9" w14:textId="72C04B1C" w:rsidR="00B85D8A" w:rsidRPr="00ED3359" w:rsidRDefault="0064631F" w:rsidP="00B85D8A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English</w:t>
    </w:r>
    <w:r w:rsidR="00B85D8A" w:rsidRPr="00ED3359">
      <w:rPr>
        <w:rFonts w:ascii="Twinkl" w:hAnsi="Twinkl"/>
        <w:b/>
        <w:sz w:val="14"/>
        <w:szCs w:val="14"/>
        <w:u w:val="single"/>
      </w:rPr>
      <w:t xml:space="preserve"> Curriculum Map</w:t>
    </w:r>
  </w:p>
  <w:p w14:paraId="2440C3E7" w14:textId="12808F8D" w:rsidR="00B85D8A" w:rsidRPr="00ED3359" w:rsidRDefault="00B85D8A" w:rsidP="00B85D8A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2021-2022 Year 4</w:t>
    </w:r>
  </w:p>
  <w:p w14:paraId="10167E51" w14:textId="77777777" w:rsidR="00B85D8A" w:rsidRDefault="00B85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3D"/>
    <w:rsid w:val="00026291"/>
    <w:rsid w:val="000373A4"/>
    <w:rsid w:val="00051DB1"/>
    <w:rsid w:val="001131BC"/>
    <w:rsid w:val="00226D68"/>
    <w:rsid w:val="003A2B19"/>
    <w:rsid w:val="00497876"/>
    <w:rsid w:val="0064631F"/>
    <w:rsid w:val="00742911"/>
    <w:rsid w:val="00B50083"/>
    <w:rsid w:val="00B85D8A"/>
    <w:rsid w:val="00BA0B3C"/>
    <w:rsid w:val="00BB159D"/>
    <w:rsid w:val="00C46E38"/>
    <w:rsid w:val="00D75D3D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CD0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3D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D3D"/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D8A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5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D8A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3626</Characters>
  <Application>Microsoft Macintosh Word</Application>
  <DocSecurity>0</DocSecurity>
  <Lines>30</Lines>
  <Paragraphs>8</Paragraphs>
  <ScaleCrop>false</ScaleCrop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2021-09-02T07:25:00Z</dcterms:created>
  <dcterms:modified xsi:type="dcterms:W3CDTF">2021-09-21T13:44:00Z</dcterms:modified>
</cp:coreProperties>
</file>