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5" w:tblpY="1327"/>
        <w:tblW w:w="0" w:type="auto"/>
        <w:tblLook w:val="04A0" w:firstRow="1" w:lastRow="0" w:firstColumn="1" w:lastColumn="0" w:noHBand="0" w:noVBand="1"/>
      </w:tblPr>
      <w:tblGrid>
        <w:gridCol w:w="1194"/>
        <w:gridCol w:w="1865"/>
        <w:gridCol w:w="1878"/>
        <w:gridCol w:w="1887"/>
        <w:gridCol w:w="1866"/>
        <w:gridCol w:w="1869"/>
        <w:gridCol w:w="1671"/>
        <w:gridCol w:w="1720"/>
      </w:tblGrid>
      <w:tr w:rsidR="008B513F" w:rsidRPr="00ED3359" w14:paraId="1B2A6B2C" w14:textId="77777777" w:rsidTr="00294E36">
        <w:trPr>
          <w:trHeight w:val="552"/>
        </w:trPr>
        <w:tc>
          <w:tcPr>
            <w:tcW w:w="1315" w:type="dxa"/>
          </w:tcPr>
          <w:p w14:paraId="15B07079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2CD79B63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  <w:shd w:val="clear" w:color="auto" w:fill="FFCC00"/>
          </w:tcPr>
          <w:p w14:paraId="6670FF1A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2031" w:type="dxa"/>
            <w:shd w:val="clear" w:color="auto" w:fill="FFCC00"/>
          </w:tcPr>
          <w:p w14:paraId="17F775FE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2009" w:type="dxa"/>
            <w:shd w:val="clear" w:color="auto" w:fill="00FF00"/>
          </w:tcPr>
          <w:p w14:paraId="0B765A2F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566E666F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009" w:type="dxa"/>
            <w:shd w:val="clear" w:color="auto" w:fill="00FF00"/>
          </w:tcPr>
          <w:p w14:paraId="645C945A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4EB42D57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FF00FF"/>
          </w:tcPr>
          <w:p w14:paraId="713C4AFA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1843" w:type="dxa"/>
            <w:shd w:val="clear" w:color="auto" w:fill="FF00FF"/>
          </w:tcPr>
          <w:p w14:paraId="311559FF" w14:textId="77777777" w:rsidR="006565F4" w:rsidRPr="00ED3359" w:rsidRDefault="006565F4" w:rsidP="00294E36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8B513F" w:rsidRPr="00ED3359" w14:paraId="2C4AA89D" w14:textId="77777777" w:rsidTr="00294E36">
        <w:trPr>
          <w:trHeight w:val="1544"/>
        </w:trPr>
        <w:tc>
          <w:tcPr>
            <w:tcW w:w="1315" w:type="dxa"/>
            <w:vMerge w:val="restart"/>
          </w:tcPr>
          <w:p w14:paraId="455E412A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Year </w:t>
            </w: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Five</w:t>
            </w:r>
          </w:p>
        </w:tc>
        <w:tc>
          <w:tcPr>
            <w:tcW w:w="1981" w:type="dxa"/>
          </w:tcPr>
          <w:p w14:paraId="4BF6BB5A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Books</w:t>
            </w:r>
          </w:p>
        </w:tc>
        <w:tc>
          <w:tcPr>
            <w:tcW w:w="2031" w:type="dxa"/>
          </w:tcPr>
          <w:p w14:paraId="537E5664" w14:textId="77777777" w:rsidR="006565F4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66490B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Growing Together </w:t>
            </w:r>
          </w:p>
          <w:p w14:paraId="30C52D58" w14:textId="77777777" w:rsidR="006565F4" w:rsidRPr="0066490B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6490B">
              <w:rPr>
                <w:rFonts w:ascii="Twinkl" w:hAnsi="Twinkl"/>
                <w:sz w:val="14"/>
                <w:szCs w:val="14"/>
                <w:lang w:val="en-US"/>
              </w:rPr>
              <w:t>The Promise by Nicola Davis</w:t>
            </w:r>
          </w:p>
          <w:p w14:paraId="17695BD8" w14:textId="77777777" w:rsidR="006565F4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3FF51CE6" w14:textId="77777777" w:rsidR="006565F4" w:rsidRPr="009F3DE0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9F3DE0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Ancient Greeks </w:t>
            </w:r>
          </w:p>
          <w:p w14:paraId="39627C92" w14:textId="77777777" w:rsidR="006565F4" w:rsidRPr="00F756E3" w:rsidRDefault="006565F4" w:rsidP="00294E36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Who Let </w:t>
            </w:r>
            <w:proofErr w:type="gramStart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>The</w:t>
            </w:r>
            <w:proofErr w:type="gramEnd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Gods Out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?</w:t>
            </w:r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by </w:t>
            </w:r>
            <w:proofErr w:type="spellStart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>Maz</w:t>
            </w:r>
            <w:proofErr w:type="spellEnd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Evans </w:t>
            </w:r>
          </w:p>
          <w:p w14:paraId="1251BECA" w14:textId="77777777" w:rsidR="006565F4" w:rsidRPr="00F756E3" w:rsidRDefault="006565F4" w:rsidP="00294E36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F756E3">
              <w:rPr>
                <w:rFonts w:ascii="Twinkl" w:hAnsi="Twinkl"/>
                <w:b/>
                <w:sz w:val="14"/>
                <w:szCs w:val="14"/>
                <w:lang w:val="en-US"/>
              </w:rPr>
              <w:t>Roald Dahl Week:</w:t>
            </w:r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Matilda</w:t>
            </w:r>
          </w:p>
          <w:p w14:paraId="6511056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756E3">
              <w:rPr>
                <w:rFonts w:ascii="Twinkl" w:hAnsi="Twinkl"/>
                <w:b/>
                <w:sz w:val="14"/>
                <w:szCs w:val="14"/>
                <w:lang w:val="en-US"/>
              </w:rPr>
              <w:t>Poet</w:t>
            </w:r>
            <w:r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ry Week: </w:t>
            </w:r>
            <w:r w:rsidRPr="00A55548">
              <w:rPr>
                <w:rFonts w:ascii="Twinkl" w:hAnsi="Twinkl"/>
                <w:sz w:val="14"/>
                <w:szCs w:val="14"/>
                <w:lang w:val="en-US"/>
              </w:rPr>
              <w:t xml:space="preserve">Cloud Busting by </w:t>
            </w:r>
            <w:proofErr w:type="spellStart"/>
            <w:r w:rsidRPr="00A55548">
              <w:rPr>
                <w:rFonts w:ascii="Twinkl" w:hAnsi="Twinkl"/>
                <w:sz w:val="14"/>
                <w:szCs w:val="14"/>
                <w:lang w:val="en-US"/>
              </w:rPr>
              <w:t>Malorie</w:t>
            </w:r>
            <w:proofErr w:type="spellEnd"/>
            <w:r w:rsidRPr="00A55548">
              <w:rPr>
                <w:rFonts w:ascii="Twinkl" w:hAnsi="Twinkl"/>
                <w:sz w:val="14"/>
                <w:szCs w:val="14"/>
                <w:lang w:val="en-US"/>
              </w:rPr>
              <w:t xml:space="preserve"> Blackman</w:t>
            </w:r>
          </w:p>
          <w:p w14:paraId="59082457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Undefeted</w:t>
            </w:r>
            <w:proofErr w:type="spellEnd"/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by </w:t>
            </w:r>
            <w:r w:rsidRPr="00A55548">
              <w:rPr>
                <w:rFonts w:ascii="Twinkl" w:hAnsi="Twinkl"/>
                <w:sz w:val="14"/>
                <w:szCs w:val="14"/>
                <w:lang w:val="en-US"/>
              </w:rPr>
              <w:t xml:space="preserve">by Kwame Alexander and </w:t>
            </w:r>
            <w:proofErr w:type="spellStart"/>
            <w:r w:rsidRPr="00A55548">
              <w:rPr>
                <w:rFonts w:ascii="Twinkl" w:hAnsi="Twinkl"/>
                <w:sz w:val="14"/>
                <w:szCs w:val="14"/>
                <w:lang w:val="en-US"/>
              </w:rPr>
              <w:t>Kadir</w:t>
            </w:r>
            <w:proofErr w:type="spellEnd"/>
            <w:r w:rsidRPr="00A55548">
              <w:rPr>
                <w:rFonts w:ascii="Twinkl" w:hAnsi="Twinkl"/>
                <w:sz w:val="14"/>
                <w:szCs w:val="14"/>
                <w:lang w:val="en-US"/>
              </w:rPr>
              <w:t xml:space="preserve"> Nelson</w:t>
            </w:r>
          </w:p>
          <w:p w14:paraId="28671019" w14:textId="77777777" w:rsidR="006565F4" w:rsidRPr="00F756E3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4E1578A" w14:textId="77777777" w:rsidR="006565F4" w:rsidRPr="00F756E3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756E3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Black History Month: </w:t>
            </w:r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Black Heroes by </w:t>
            </w:r>
            <w:proofErr w:type="spellStart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>Arlisha</w:t>
            </w:r>
            <w:proofErr w:type="spellEnd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Norwood</w:t>
            </w:r>
          </w:p>
          <w:p w14:paraId="23E81569" w14:textId="77777777" w:rsidR="006565F4" w:rsidRPr="00776C60" w:rsidRDefault="006565F4" w:rsidP="00294E36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The Girl Who Stole an Elephant by </w:t>
            </w:r>
            <w:proofErr w:type="spellStart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>Nizrana</w:t>
            </w:r>
            <w:proofErr w:type="spellEnd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>Farook</w:t>
            </w:r>
            <w:proofErr w:type="spellEnd"/>
            <w:r w:rsidRPr="00F756E3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198A338A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Young, Gifted and Black by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Jamia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Wilson</w:t>
            </w:r>
          </w:p>
        </w:tc>
        <w:tc>
          <w:tcPr>
            <w:tcW w:w="2031" w:type="dxa"/>
          </w:tcPr>
          <w:p w14:paraId="65E7F92A" w14:textId="77777777" w:rsidR="006565F4" w:rsidRPr="009F3DE0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9F3DE0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</w:t>
            </w: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 </w:t>
            </w:r>
            <w:r w:rsidRPr="009F3DE0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Ancient Greeks </w:t>
            </w:r>
          </w:p>
          <w:p w14:paraId="0F4EBDC4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E09E5">
              <w:rPr>
                <w:rFonts w:ascii="Twinkl" w:hAnsi="Twinkl"/>
                <w:sz w:val="14"/>
                <w:szCs w:val="14"/>
                <w:lang w:val="en-US"/>
              </w:rPr>
              <w:t xml:space="preserve">Who Let </w:t>
            </w:r>
            <w:proofErr w:type="gramStart"/>
            <w:r w:rsidRPr="002E09E5">
              <w:rPr>
                <w:rFonts w:ascii="Twinkl" w:hAnsi="Twinkl"/>
                <w:sz w:val="14"/>
                <w:szCs w:val="14"/>
                <w:lang w:val="en-US"/>
              </w:rPr>
              <w:t>The</w:t>
            </w:r>
            <w:proofErr w:type="gramEnd"/>
            <w:r w:rsidRPr="002E09E5">
              <w:rPr>
                <w:rFonts w:ascii="Twinkl" w:hAnsi="Twinkl"/>
                <w:sz w:val="14"/>
                <w:szCs w:val="14"/>
                <w:lang w:val="en-US"/>
              </w:rPr>
              <w:t xml:space="preserve"> Gods Out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?</w:t>
            </w:r>
            <w:r w:rsidRPr="002E09E5">
              <w:rPr>
                <w:rFonts w:ascii="Twinkl" w:hAnsi="Twinkl"/>
                <w:sz w:val="14"/>
                <w:szCs w:val="14"/>
                <w:lang w:val="en-US"/>
              </w:rPr>
              <w:t xml:space="preserve"> by </w:t>
            </w:r>
            <w:proofErr w:type="spellStart"/>
            <w:r w:rsidRPr="002E09E5">
              <w:rPr>
                <w:rFonts w:ascii="Twinkl" w:hAnsi="Twinkl"/>
                <w:sz w:val="14"/>
                <w:szCs w:val="14"/>
                <w:lang w:val="en-US"/>
              </w:rPr>
              <w:t>Maz</w:t>
            </w:r>
            <w:proofErr w:type="spellEnd"/>
            <w:r w:rsidRPr="002E09E5">
              <w:rPr>
                <w:rFonts w:ascii="Twinkl" w:hAnsi="Twinkl"/>
                <w:sz w:val="14"/>
                <w:szCs w:val="14"/>
                <w:lang w:val="en-US"/>
              </w:rPr>
              <w:t xml:space="preserve"> Evans</w:t>
            </w:r>
          </w:p>
          <w:p w14:paraId="1A3B7E14" w14:textId="77777777" w:rsidR="008B513F" w:rsidRDefault="008B513F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AD2C532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Greek Myths </w:t>
            </w:r>
          </w:p>
          <w:p w14:paraId="77607751" w14:textId="77777777" w:rsidR="008B513F" w:rsidRPr="002E09E5" w:rsidRDefault="008B513F" w:rsidP="00294E36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</w:p>
          <w:p w14:paraId="62E3E375" w14:textId="77777777" w:rsidR="006565F4" w:rsidRPr="002E09E5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E09E5">
              <w:rPr>
                <w:rFonts w:ascii="Twinkl" w:hAnsi="Twinkl"/>
                <w:b/>
                <w:sz w:val="14"/>
                <w:szCs w:val="14"/>
                <w:lang w:val="en-US"/>
              </w:rPr>
              <w:t>Literacy Shed</w:t>
            </w:r>
            <w:r w:rsidRPr="002E09E5">
              <w:rPr>
                <w:rFonts w:ascii="Twinkl" w:hAnsi="Twinkl"/>
                <w:sz w:val="14"/>
                <w:szCs w:val="14"/>
                <w:lang w:val="en-US"/>
              </w:rPr>
              <w:t>: King Midas</w:t>
            </w:r>
          </w:p>
          <w:p w14:paraId="5B99E69B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3A309FC0" w14:textId="77777777" w:rsidR="006565F4" w:rsidRPr="006D34C6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6D34C6">
              <w:rPr>
                <w:rFonts w:ascii="Twinkl" w:hAnsi="Twinkl"/>
                <w:b/>
                <w:sz w:val="14"/>
                <w:szCs w:val="14"/>
                <w:u w:val="single"/>
              </w:rPr>
              <w:t>Theme: Tolerance and accepting differences</w:t>
            </w:r>
          </w:p>
          <w:p w14:paraId="766D619D" w14:textId="77777777" w:rsidR="006565F4" w:rsidRPr="006D34C6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6D34C6">
              <w:rPr>
                <w:rFonts w:ascii="Twinkl" w:hAnsi="Twinkl"/>
                <w:sz w:val="14"/>
                <w:szCs w:val="14"/>
              </w:rPr>
              <w:t>Wonder by R J Palacio</w:t>
            </w:r>
          </w:p>
          <w:p w14:paraId="5D46AE35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D34C6">
              <w:rPr>
                <w:rFonts w:ascii="Twinkl" w:hAnsi="Twinkl"/>
                <w:iCs/>
                <w:sz w:val="14"/>
                <w:szCs w:val="14"/>
                <w:lang w:val="en-US"/>
              </w:rPr>
              <w:t xml:space="preserve">Mockingbird </w:t>
            </w:r>
            <w:r w:rsidRPr="006D34C6">
              <w:rPr>
                <w:rFonts w:ascii="Twinkl" w:hAnsi="Twinkl"/>
                <w:sz w:val="14"/>
                <w:szCs w:val="14"/>
                <w:lang w:val="en-US"/>
              </w:rPr>
              <w:t>by Kathryn Erskine</w:t>
            </w:r>
          </w:p>
          <w:p w14:paraId="7B960FED" w14:textId="77777777" w:rsidR="006565F4" w:rsidRPr="006D34C6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6EDEDC9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100E5">
              <w:rPr>
                <w:rFonts w:ascii="Twinkl" w:hAnsi="Twinkl"/>
                <w:b/>
                <w:sz w:val="14"/>
                <w:szCs w:val="14"/>
                <w:lang w:val="en-US"/>
              </w:rPr>
              <w:t>Poetry Week: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The Highwayman by Alfred Noyes</w:t>
            </w:r>
          </w:p>
          <w:p w14:paraId="30C80712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04C40938" w14:textId="77777777" w:rsidR="006565F4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>
              <w:rPr>
                <w:rFonts w:ascii="Twinkl" w:hAnsi="Twinkl"/>
                <w:b/>
                <w:sz w:val="14"/>
                <w:szCs w:val="14"/>
              </w:rPr>
              <w:t>Mental Health Week:</w:t>
            </w:r>
          </w:p>
          <w:p w14:paraId="6FA26E5A" w14:textId="77777777" w:rsidR="006565F4" w:rsidRPr="00AF672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‘</w:t>
            </w:r>
            <w:r w:rsidRPr="00AF6729">
              <w:rPr>
                <w:rFonts w:ascii="Twinkl" w:hAnsi="Twinkl"/>
                <w:sz w:val="14"/>
                <w:szCs w:val="14"/>
              </w:rPr>
              <w:t>Stretch Your Confidence</w:t>
            </w:r>
            <w:r>
              <w:rPr>
                <w:rFonts w:ascii="Twinkl" w:hAnsi="Twinkl"/>
                <w:sz w:val="14"/>
                <w:szCs w:val="14"/>
              </w:rPr>
              <w:t>’</w:t>
            </w:r>
            <w:r w:rsidRPr="00AF6729">
              <w:rPr>
                <w:rFonts w:ascii="Twinkl" w:hAnsi="Twinkl"/>
                <w:sz w:val="14"/>
                <w:szCs w:val="14"/>
              </w:rPr>
              <w:t xml:space="preserve"> by Beth Cox</w:t>
            </w:r>
          </w:p>
          <w:p w14:paraId="457057B3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12A3C1E8" w14:textId="77777777" w:rsidR="008B513F" w:rsidRPr="008B513F" w:rsidRDefault="008B513F" w:rsidP="008B513F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8B513F">
              <w:rPr>
                <w:rFonts w:ascii="Twinkl" w:hAnsi="Twinkl"/>
                <w:sz w:val="14"/>
                <w:szCs w:val="14"/>
                <w:lang w:val="en-US"/>
              </w:rPr>
              <w:t>Lifesize</w:t>
            </w:r>
            <w:proofErr w:type="spellEnd"/>
            <w:r w:rsidRPr="008B513F">
              <w:rPr>
                <w:rFonts w:ascii="Twinkl" w:hAnsi="Twinkl"/>
                <w:sz w:val="14"/>
                <w:szCs w:val="14"/>
                <w:lang w:val="en-US"/>
              </w:rPr>
              <w:t>: Rainforest</w:t>
            </w:r>
          </w:p>
          <w:p w14:paraId="2F52A7A4" w14:textId="77777777" w:rsidR="008B513F" w:rsidRPr="008B513F" w:rsidRDefault="008B513F" w:rsidP="008B513F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B513F">
              <w:rPr>
                <w:rFonts w:ascii="Twinkl" w:hAnsi="Twinkl"/>
                <w:sz w:val="14"/>
                <w:szCs w:val="14"/>
                <w:lang w:val="en-US"/>
              </w:rPr>
              <w:t xml:space="preserve">Anita </w:t>
            </w:r>
            <w:proofErr w:type="spellStart"/>
            <w:r w:rsidRPr="008B513F">
              <w:rPr>
                <w:rFonts w:ascii="Twinkl" w:hAnsi="Twinkl"/>
                <w:sz w:val="14"/>
                <w:szCs w:val="14"/>
                <w:lang w:val="en-US"/>
              </w:rPr>
              <w:t>Ganeri</w:t>
            </w:r>
            <w:proofErr w:type="spellEnd"/>
            <w:r w:rsidRPr="008B513F">
              <w:rPr>
                <w:rFonts w:ascii="Twinkl" w:hAnsi="Twinkl"/>
                <w:sz w:val="14"/>
                <w:szCs w:val="14"/>
                <w:lang w:val="en-US"/>
              </w:rPr>
              <w:t xml:space="preserve"> &amp; Stuart Jackson-Carter</w:t>
            </w:r>
          </w:p>
          <w:p w14:paraId="01E1422D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39B46B26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597F707D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6CF8561D" w14:textId="3204CC0D" w:rsidR="008B513F" w:rsidRPr="006D34C6" w:rsidRDefault="008B513F" w:rsidP="008B513F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6D34C6">
              <w:rPr>
                <w:rFonts w:ascii="Twinkl" w:hAnsi="Twinkl"/>
                <w:b/>
                <w:sz w:val="14"/>
                <w:szCs w:val="14"/>
                <w:u w:val="single"/>
              </w:rPr>
              <w:t>Theme: Tolerance and accepting differences</w:t>
            </w:r>
          </w:p>
          <w:p w14:paraId="0E0C7805" w14:textId="77777777" w:rsidR="008B513F" w:rsidRPr="006D34C6" w:rsidRDefault="008B513F" w:rsidP="008B513F">
            <w:pPr>
              <w:rPr>
                <w:rFonts w:ascii="Twinkl" w:hAnsi="Twinkl"/>
                <w:b/>
                <w:sz w:val="14"/>
                <w:szCs w:val="14"/>
              </w:rPr>
            </w:pPr>
            <w:r w:rsidRPr="006D34C6">
              <w:rPr>
                <w:rFonts w:ascii="Twinkl" w:hAnsi="Twinkl"/>
                <w:sz w:val="14"/>
                <w:szCs w:val="14"/>
              </w:rPr>
              <w:t>Wonder by R J Palacio</w:t>
            </w:r>
          </w:p>
          <w:p w14:paraId="090B5A88" w14:textId="3A06A67D" w:rsidR="006565F4" w:rsidRPr="00F81112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02ABA514" w14:textId="7D14CCE9" w:rsidR="006565F4" w:rsidRDefault="008B513F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Anglo-Saxon Boy by Tony Bradman </w:t>
            </w:r>
          </w:p>
          <w:p w14:paraId="2205FDB5" w14:textId="77777777" w:rsidR="008B513F" w:rsidRDefault="008B513F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09F2DA68" w14:textId="24E5AD71" w:rsidR="008B513F" w:rsidRPr="008B513F" w:rsidRDefault="008B513F" w:rsidP="008B513F">
            <w:pPr>
              <w:rPr>
                <w:rFonts w:ascii="Twinkl" w:hAnsi="Twinkl"/>
                <w:bCs/>
                <w:sz w:val="14"/>
                <w:szCs w:val="14"/>
                <w:lang w:val="en-US"/>
              </w:rPr>
            </w:pPr>
            <w:r w:rsidRPr="008B513F">
              <w:rPr>
                <w:rFonts w:ascii="Twinkl" w:hAnsi="Twinkl"/>
                <w:bCs/>
                <w:sz w:val="14"/>
                <w:szCs w:val="14"/>
                <w:lang w:val="en-US"/>
              </w:rPr>
              <w:t>Men, Women and Children in Anglo-Saxon Times Jane Bingham</w:t>
            </w:r>
          </w:p>
          <w:p w14:paraId="5AE2D45B" w14:textId="77777777" w:rsidR="008B513F" w:rsidRDefault="008B513F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69861B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3EE86FA9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73" w:type="dxa"/>
          </w:tcPr>
          <w:p w14:paraId="76106E3F" w14:textId="6E539969" w:rsidR="006565F4" w:rsidRPr="006565F4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40609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</w:t>
            </w:r>
            <w:r w:rsidR="00580FD4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Journeys </w:t>
            </w:r>
          </w:p>
          <w:p w14:paraId="6F626E81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The Arrival by Shaun Tan </w:t>
            </w:r>
          </w:p>
          <w:p w14:paraId="18315552" w14:textId="77777777" w:rsidR="00580FD4" w:rsidRDefault="00580FD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37A2EE27" w14:textId="00970CF6" w:rsidR="00580FD4" w:rsidRDefault="00580FD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The Lost Thing by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Saun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Tan </w:t>
            </w:r>
          </w:p>
          <w:p w14:paraId="3FFB4BE7" w14:textId="77777777" w:rsidR="00A60AF8" w:rsidRDefault="00A60AF8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269BA91F" w14:textId="3CB3D9B0" w:rsidR="00A60AF8" w:rsidRDefault="00A60AF8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A60AF8">
              <w:rPr>
                <w:rFonts w:ascii="Twinkl" w:hAnsi="Twinkl"/>
                <w:b/>
                <w:sz w:val="14"/>
                <w:szCs w:val="14"/>
                <w:u w:val="single"/>
              </w:rPr>
              <w:t>Theme: Environmental Issues</w:t>
            </w:r>
          </w:p>
          <w:p w14:paraId="5AB2FD18" w14:textId="77777777" w:rsidR="00A60AF8" w:rsidRDefault="00A60AF8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1FA4587D" w14:textId="76E30DA2" w:rsidR="00A60AF8" w:rsidRPr="00A60AF8" w:rsidRDefault="00A60AF8" w:rsidP="00294E36">
            <w:pPr>
              <w:rPr>
                <w:rFonts w:ascii="Twinkl" w:hAnsi="Twinkl"/>
                <w:sz w:val="14"/>
                <w:szCs w:val="14"/>
              </w:rPr>
            </w:pPr>
            <w:r w:rsidRPr="00A60AF8">
              <w:rPr>
                <w:rFonts w:ascii="Twinkl" w:hAnsi="Twinkl"/>
                <w:sz w:val="14"/>
                <w:szCs w:val="14"/>
              </w:rPr>
              <w:t xml:space="preserve">Destination Planet Earth </w:t>
            </w:r>
            <w:r>
              <w:rPr>
                <w:rFonts w:ascii="Twinkl" w:hAnsi="Twinkl"/>
                <w:sz w:val="14"/>
                <w:szCs w:val="14"/>
              </w:rPr>
              <w:t xml:space="preserve">by </w:t>
            </w:r>
            <w:r w:rsidRPr="00A60AF8">
              <w:rPr>
                <w:rFonts w:ascii="Twinkl" w:hAnsi="Twinkl"/>
                <w:sz w:val="14"/>
                <w:szCs w:val="14"/>
              </w:rPr>
              <w:t>Joe Nelson</w:t>
            </w:r>
          </w:p>
          <w:p w14:paraId="2E36426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729D2BEC" w14:textId="77777777" w:rsidR="006565F4" w:rsidRPr="006F13C8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F13C8">
              <w:rPr>
                <w:rFonts w:ascii="Twinkl" w:hAnsi="Twinkl"/>
                <w:b/>
                <w:sz w:val="14"/>
                <w:szCs w:val="14"/>
              </w:rPr>
              <w:t>Poetry Week</w:t>
            </w:r>
            <w:r>
              <w:rPr>
                <w:rFonts w:ascii="Twinkl" w:hAnsi="Twinkl"/>
                <w:sz w:val="14"/>
                <w:szCs w:val="14"/>
              </w:rPr>
              <w:t xml:space="preserve">: The Same Inside by </w:t>
            </w:r>
            <w:r w:rsidRPr="006F13C8">
              <w:rPr>
                <w:rFonts w:ascii="Twinkl" w:hAnsi="Twinkl"/>
                <w:sz w:val="14"/>
                <w:szCs w:val="14"/>
                <w:lang w:val="en-US"/>
              </w:rPr>
              <w:t xml:space="preserve">Liz Brownlee Matt </w:t>
            </w:r>
            <w:proofErr w:type="spellStart"/>
            <w:r w:rsidRPr="006F13C8">
              <w:rPr>
                <w:rFonts w:ascii="Twinkl" w:hAnsi="Twinkl"/>
                <w:sz w:val="14"/>
                <w:szCs w:val="14"/>
                <w:lang w:val="en-US"/>
              </w:rPr>
              <w:t>Goodfellow</w:t>
            </w:r>
            <w:proofErr w:type="spellEnd"/>
            <w:r w:rsidRPr="006F13C8">
              <w:rPr>
                <w:rFonts w:ascii="Twinkl" w:hAnsi="Twinkl"/>
                <w:sz w:val="14"/>
                <w:szCs w:val="14"/>
                <w:lang w:val="en-US"/>
              </w:rPr>
              <w:t xml:space="preserve"> and Roger Stevens</w:t>
            </w:r>
          </w:p>
          <w:p w14:paraId="12AAEEC7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F24A911" w14:textId="36BEFB67" w:rsidR="00686C29" w:rsidRPr="00686C29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686C2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</w:t>
            </w:r>
            <w:r w:rsidR="00686C29" w:rsidRPr="00686C2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Vikings </w:t>
            </w:r>
          </w:p>
          <w:p w14:paraId="42970D74" w14:textId="7C76D8A6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Viking Boy by Tony Bradman </w:t>
            </w:r>
          </w:p>
          <w:p w14:paraId="37EBE7B8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702549BE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618AFE4D" w14:textId="0155442A" w:rsidR="006565F4" w:rsidRPr="00ED3359" w:rsidRDefault="00686C29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Odd and the Frost Giants by Neil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Gaiman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</w:tr>
      <w:tr w:rsidR="006565F4" w:rsidRPr="00ED3359" w14:paraId="682BBC10" w14:textId="77777777" w:rsidTr="00294E36">
        <w:trPr>
          <w:trHeight w:val="564"/>
        </w:trPr>
        <w:tc>
          <w:tcPr>
            <w:tcW w:w="1315" w:type="dxa"/>
            <w:vMerge/>
          </w:tcPr>
          <w:p w14:paraId="4733644E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981" w:type="dxa"/>
          </w:tcPr>
          <w:p w14:paraId="199BD2F0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09F8096C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1696" w:type="dxa"/>
            <w:gridSpan w:val="6"/>
          </w:tcPr>
          <w:p w14:paraId="0B8E2B9C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For children working towards the expected standard w</w:t>
            </w:r>
            <w:r w:rsidRPr="00ED3359">
              <w:rPr>
                <w:rFonts w:ascii="Twinkl" w:hAnsi="Twinkl"/>
                <w:sz w:val="14"/>
                <w:szCs w:val="14"/>
              </w:rPr>
              <w:t>e use PM Benchm</w:t>
            </w:r>
            <w:r>
              <w:rPr>
                <w:rFonts w:ascii="Twinkl" w:hAnsi="Twinkl"/>
                <w:sz w:val="14"/>
                <w:szCs w:val="14"/>
              </w:rPr>
              <w:t xml:space="preserve">arking to assess their </w:t>
            </w:r>
            <w:r w:rsidRPr="00ED3359">
              <w:rPr>
                <w:rFonts w:ascii="Twinkl" w:hAnsi="Twinkl"/>
                <w:sz w:val="14"/>
                <w:szCs w:val="14"/>
              </w:rPr>
              <w:t>word reading and comprehension ability. Children are then given Oxford Reading Tree Reading books to match</w:t>
            </w:r>
            <w:r>
              <w:rPr>
                <w:rFonts w:ascii="Twinkl" w:hAnsi="Twinkl"/>
                <w:sz w:val="14"/>
                <w:szCs w:val="14"/>
              </w:rPr>
              <w:t xml:space="preserve"> their ability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. </w:t>
            </w:r>
            <w:r>
              <w:rPr>
                <w:rFonts w:ascii="Twinkl" w:hAnsi="Twinkl"/>
                <w:sz w:val="14"/>
                <w:szCs w:val="14"/>
              </w:rPr>
              <w:t>All children’s reading ability is assessed by using NFER reading test.  We promote reading for pleasure and children have a free choice of books to take home.</w:t>
            </w:r>
          </w:p>
        </w:tc>
      </w:tr>
      <w:tr w:rsidR="006565F4" w:rsidRPr="00ED3359" w14:paraId="76BDD133" w14:textId="77777777" w:rsidTr="00294E36">
        <w:trPr>
          <w:trHeight w:val="478"/>
        </w:trPr>
        <w:tc>
          <w:tcPr>
            <w:tcW w:w="1315" w:type="dxa"/>
            <w:vMerge/>
          </w:tcPr>
          <w:p w14:paraId="70DA9B16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0D7C7CB4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Destination Reader</w:t>
            </w:r>
          </w:p>
        </w:tc>
        <w:tc>
          <w:tcPr>
            <w:tcW w:w="9853" w:type="dxa"/>
            <w:gridSpan w:val="5"/>
          </w:tcPr>
          <w:p w14:paraId="7BC8B378" w14:textId="77777777" w:rsidR="006565F4" w:rsidRPr="00776C60" w:rsidRDefault="006565F4" w:rsidP="00294E36">
            <w:pPr>
              <w:rPr>
                <w:rFonts w:ascii="Twinkl" w:hAnsi="Twinkl"/>
                <w:sz w:val="15"/>
                <w:szCs w:val="15"/>
                <w:lang w:val="en-US"/>
              </w:rPr>
            </w:pPr>
            <w:r w:rsidRPr="001E4694">
              <w:rPr>
                <w:rFonts w:ascii="Twinkl" w:hAnsi="Twinkl"/>
                <w:sz w:val="14"/>
                <w:szCs w:val="14"/>
              </w:rPr>
              <w:t>Destination Reader allows children to access real books of a high quality that are engaging and exciting. As talk is made central, partner reading is continued and children are given ample opportunities to discuss books with their partners.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Children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practis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e</w:t>
            </w:r>
            <w:proofErr w:type="spellEnd"/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 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seven key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skills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identifies within the national curriculum to support the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reading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and understanding of a wide range of texts.</w:t>
            </w: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 The skills are: predicting, making connections, asking questions, evaluating, inferring, </w:t>
            </w:r>
            <w:proofErr w:type="spellStart"/>
            <w:r>
              <w:rPr>
                <w:rFonts w:ascii="Twinkl" w:hAnsi="Twinkl"/>
                <w:sz w:val="15"/>
                <w:szCs w:val="15"/>
                <w:lang w:val="en-US"/>
              </w:rPr>
              <w:t>summarising</w:t>
            </w:r>
            <w:proofErr w:type="spellEnd"/>
            <w:r>
              <w:rPr>
                <w:rFonts w:ascii="Twinkl" w:hAnsi="Twinkl"/>
                <w:sz w:val="15"/>
                <w:szCs w:val="15"/>
                <w:lang w:val="en-US"/>
              </w:rPr>
              <w:t>, c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larifying.</w:t>
            </w:r>
          </w:p>
        </w:tc>
        <w:tc>
          <w:tcPr>
            <w:tcW w:w="1843" w:type="dxa"/>
          </w:tcPr>
          <w:p w14:paraId="5D99F7A1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8B513F" w:rsidRPr="00ED3359" w14:paraId="09C101E5" w14:textId="77777777" w:rsidTr="00294E36">
        <w:trPr>
          <w:trHeight w:val="1711"/>
        </w:trPr>
        <w:tc>
          <w:tcPr>
            <w:tcW w:w="1315" w:type="dxa"/>
            <w:vMerge/>
          </w:tcPr>
          <w:p w14:paraId="6B0F7913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4BA4CF4E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ting (Transcription-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Spelling)</w:t>
            </w:r>
          </w:p>
        </w:tc>
        <w:tc>
          <w:tcPr>
            <w:tcW w:w="2031" w:type="dxa"/>
          </w:tcPr>
          <w:p w14:paraId="0CB1B17D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Revise the spellings from Years 3 and 4</w:t>
            </w:r>
          </w:p>
          <w:p w14:paraId="17F2CD32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(English Appendix 1)</w:t>
            </w:r>
          </w:p>
          <w:p w14:paraId="58B6C743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bookmarkStart w:id="0" w:name="_GoBack"/>
            <w:bookmarkEnd w:id="0"/>
          </w:p>
          <w:p w14:paraId="770735D8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6AA99DDF" w14:textId="77777777" w:rsidR="006565F4" w:rsidRPr="00C4375F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4375F">
              <w:rPr>
                <w:rFonts w:ascii="Twinkl" w:hAnsi="Twinkl"/>
                <w:sz w:val="14"/>
                <w:szCs w:val="14"/>
                <w:lang w:val="en-US"/>
              </w:rPr>
              <w:t xml:space="preserve">Homophones and near-homophones </w:t>
            </w:r>
          </w:p>
          <w:p w14:paraId="081A5E57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76A1D96A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>prefixes and suffixes and understand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ing</w:t>
            </w: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 the guidance for adding them </w:t>
            </w:r>
          </w:p>
          <w:p w14:paraId="3A1E9EFC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3C5FD8B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spell some words with ‘silent’ letters [for example, knight, psalm, solemn] </w:t>
            </w:r>
          </w:p>
          <w:p w14:paraId="1D9C88BA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19360923" w14:textId="77777777" w:rsidR="006565F4" w:rsidRPr="00C4375F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4375F">
              <w:rPr>
                <w:rFonts w:ascii="Twinkl" w:hAnsi="Twinkl"/>
                <w:sz w:val="14"/>
                <w:szCs w:val="14"/>
                <w:lang w:val="en-US"/>
              </w:rPr>
              <w:t xml:space="preserve">Possessive apostrophe with plural words </w:t>
            </w:r>
          </w:p>
          <w:p w14:paraId="490934B8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013848BF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continue to distinguish between homophones and other words which are often confused </w:t>
            </w:r>
          </w:p>
          <w:p w14:paraId="674B68F4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30640DE" w14:textId="77777777" w:rsidR="006565F4" w:rsidRPr="00776C60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use knowledge of morphology and etymology in spelling and understand that the spelling of some words needs to be learnt specifically, as listed in English Appendix 1 </w:t>
            </w:r>
          </w:p>
        </w:tc>
        <w:tc>
          <w:tcPr>
            <w:tcW w:w="2009" w:type="dxa"/>
          </w:tcPr>
          <w:p w14:paraId="31F35CFD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use knowledge of morphology and etymology in spelling and understand that the spelling of some words needs to be learnt specifically, as listed in English Appendix 1 </w:t>
            </w:r>
          </w:p>
          <w:p w14:paraId="604335AB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73" w:type="dxa"/>
          </w:tcPr>
          <w:p w14:paraId="0D6EC035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use dictionaries to check the spelling and meaning of words </w:t>
            </w:r>
          </w:p>
          <w:p w14:paraId="6CD077FC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497EA5F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use the first three or four letters of a word to check spelling, meaning or both of these </w:t>
            </w:r>
          </w:p>
          <w:p w14:paraId="230700AD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54139">
              <w:rPr>
                <w:rFonts w:ascii="Twinkl" w:hAnsi="Twinkl"/>
                <w:sz w:val="14"/>
                <w:szCs w:val="14"/>
                <w:lang w:val="en-US"/>
              </w:rPr>
              <w:t xml:space="preserve">in a dictionary </w:t>
            </w:r>
          </w:p>
          <w:p w14:paraId="5EB1AF3C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19C6816" w14:textId="77777777" w:rsidR="006565F4" w:rsidRPr="00E54139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use a thesaurus to find synonyms and antonyms</w:t>
            </w:r>
          </w:p>
          <w:p w14:paraId="48520549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DA18D93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5 curriculum</w:t>
            </w:r>
          </w:p>
        </w:tc>
      </w:tr>
      <w:tr w:rsidR="006565F4" w:rsidRPr="00ED3359" w14:paraId="5EB7D7CF" w14:textId="77777777" w:rsidTr="00294E36">
        <w:trPr>
          <w:trHeight w:val="355"/>
        </w:trPr>
        <w:tc>
          <w:tcPr>
            <w:tcW w:w="1315" w:type="dxa"/>
            <w:vMerge/>
          </w:tcPr>
          <w:p w14:paraId="4C72583A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59AF7F16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Transcription 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Handwriting)</w:t>
            </w:r>
          </w:p>
        </w:tc>
        <w:tc>
          <w:tcPr>
            <w:tcW w:w="9853" w:type="dxa"/>
            <w:gridSpan w:val="5"/>
          </w:tcPr>
          <w:p w14:paraId="3CAB5CEA" w14:textId="77777777" w:rsidR="006565F4" w:rsidRPr="00ED3359" w:rsidRDefault="006565F4" w:rsidP="00294E36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A911E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A911E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A911E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  <w:tc>
          <w:tcPr>
            <w:tcW w:w="1843" w:type="dxa"/>
          </w:tcPr>
          <w:p w14:paraId="15184265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8B513F" w:rsidRPr="00ED3359" w14:paraId="52E69720" w14:textId="77777777" w:rsidTr="00294E36">
        <w:trPr>
          <w:trHeight w:val="2605"/>
        </w:trPr>
        <w:tc>
          <w:tcPr>
            <w:tcW w:w="1315" w:type="dxa"/>
            <w:vMerge/>
          </w:tcPr>
          <w:p w14:paraId="4DDF061A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7FF9EE7B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(Composition)</w:t>
            </w:r>
          </w:p>
        </w:tc>
        <w:tc>
          <w:tcPr>
            <w:tcW w:w="2031" w:type="dxa"/>
          </w:tcPr>
          <w:p w14:paraId="323ED92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6704C7">
              <w:rPr>
                <w:rFonts w:ascii="Twinkl" w:hAnsi="Twinkl"/>
                <w:sz w:val="14"/>
                <w:szCs w:val="14"/>
                <w:lang w:val="en-US"/>
              </w:rPr>
              <w:t>organising</w:t>
            </w:r>
            <w:proofErr w:type="spellEnd"/>
            <w:r w:rsidRPr="006704C7">
              <w:rPr>
                <w:rFonts w:ascii="Twinkl" w:hAnsi="Twinkl"/>
                <w:sz w:val="14"/>
                <w:szCs w:val="14"/>
                <w:lang w:val="en-US"/>
              </w:rPr>
              <w:t xml:space="preserve"> paragraphs around a theme </w:t>
            </w:r>
          </w:p>
          <w:p w14:paraId="301C5E98" w14:textId="77777777" w:rsidR="006565F4" w:rsidRPr="006704C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B65A903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704C7">
              <w:rPr>
                <w:rFonts w:ascii="Twinkl" w:hAnsi="Twinkl"/>
                <w:sz w:val="14"/>
                <w:szCs w:val="14"/>
                <w:lang w:val="en-US"/>
              </w:rPr>
              <w:t xml:space="preserve">creating settings, characters and plot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with the reader in mind</w:t>
            </w:r>
          </w:p>
          <w:p w14:paraId="1611AFFC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F990C7F" w14:textId="77777777" w:rsidR="006565F4" w:rsidRPr="002035A6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035A6">
              <w:rPr>
                <w:rFonts w:ascii="Twinkl" w:hAnsi="Twinkl"/>
                <w:sz w:val="14"/>
                <w:szCs w:val="14"/>
                <w:lang w:val="en-US"/>
              </w:rPr>
              <w:t xml:space="preserve">proof-read for spelling and punctuation errors </w:t>
            </w:r>
          </w:p>
          <w:p w14:paraId="6D813595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0F17FFB" w14:textId="77777777" w:rsidR="006565F4" w:rsidRPr="006704C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poetry writing</w:t>
            </w:r>
          </w:p>
          <w:p w14:paraId="1BC77490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4DCF6A84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identifying the audience for and purpose of the writing, selecting the appropriate </w:t>
            </w:r>
          </w:p>
          <w:p w14:paraId="29361841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>form and using other similar writing as models for their own</w:t>
            </w:r>
          </w:p>
          <w:p w14:paraId="1B4D4856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7EDCD318" w14:textId="77777777" w:rsidR="006565F4" w:rsidRPr="007E2672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ensuring the consistent and correct use of tense throughout a piece of writing </w:t>
            </w:r>
          </w:p>
          <w:p w14:paraId="789B4756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780CA5C0" w14:textId="77777777" w:rsidR="006565F4" w:rsidRPr="006704C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704C7">
              <w:rPr>
                <w:rFonts w:ascii="Twinkl" w:hAnsi="Twinkl"/>
                <w:sz w:val="14"/>
                <w:szCs w:val="14"/>
                <w:lang w:val="en-US"/>
              </w:rPr>
              <w:t xml:space="preserve">in non-narrative material, using simple </w:t>
            </w:r>
            <w:proofErr w:type="spellStart"/>
            <w:r w:rsidRPr="006704C7">
              <w:rPr>
                <w:rFonts w:ascii="Twinkl" w:hAnsi="Twinkl"/>
                <w:sz w:val="14"/>
                <w:szCs w:val="14"/>
                <w:lang w:val="en-US"/>
              </w:rPr>
              <w:t>organisational</w:t>
            </w:r>
            <w:proofErr w:type="spellEnd"/>
            <w:r w:rsidRPr="006704C7">
              <w:rPr>
                <w:rFonts w:ascii="Twinkl" w:hAnsi="Twinkl"/>
                <w:sz w:val="14"/>
                <w:szCs w:val="14"/>
                <w:lang w:val="en-US"/>
              </w:rPr>
              <w:t xml:space="preserve"> devices [for example, headings and sub-headings] </w:t>
            </w:r>
          </w:p>
          <w:p w14:paraId="183FAC2A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5DBC9302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in narratives, describing settings, characters and atmosphere and integrating </w:t>
            </w:r>
          </w:p>
          <w:p w14:paraId="2660A612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dialogue to convey character and advance the action </w:t>
            </w:r>
          </w:p>
          <w:p w14:paraId="64CFBB0E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1074F7">
              <w:rPr>
                <w:rFonts w:ascii="Twinkl" w:hAnsi="Twinkl"/>
                <w:sz w:val="14"/>
                <w:szCs w:val="14"/>
                <w:lang w:val="en-US"/>
              </w:rPr>
              <w:t>précising</w:t>
            </w:r>
            <w:proofErr w:type="spellEnd"/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 longer passages </w:t>
            </w:r>
          </w:p>
          <w:p w14:paraId="104802F9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35A6B9BD" w14:textId="77777777" w:rsidR="006565F4" w:rsidRPr="00776C60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distinguishing between the language of speech and writing and choosing the appropriate register </w:t>
            </w:r>
          </w:p>
        </w:tc>
        <w:tc>
          <w:tcPr>
            <w:tcW w:w="2009" w:type="dxa"/>
          </w:tcPr>
          <w:p w14:paraId="583052BD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evaluate and editing</w:t>
            </w:r>
          </w:p>
          <w:p w14:paraId="50E2F6A6" w14:textId="77777777" w:rsidR="006565F4" w:rsidRPr="0014076E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4076E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2E1D1DEA" w14:textId="77777777" w:rsidR="006565F4" w:rsidRPr="006B544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B5441">
              <w:rPr>
                <w:rFonts w:ascii="Twinkl" w:hAnsi="Twinkl"/>
                <w:sz w:val="14"/>
                <w:szCs w:val="14"/>
                <w:lang w:val="en-US"/>
              </w:rPr>
              <w:t xml:space="preserve">assessing the effectiveness of their own and others’ writing and suggesting </w:t>
            </w:r>
          </w:p>
          <w:p w14:paraId="2E116B28" w14:textId="77777777" w:rsidR="006565F4" w:rsidRPr="006B544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B5441">
              <w:rPr>
                <w:rFonts w:ascii="Twinkl" w:hAnsi="Twinkl"/>
                <w:sz w:val="14"/>
                <w:szCs w:val="14"/>
                <w:lang w:val="en-US"/>
              </w:rPr>
              <w:t xml:space="preserve">improvements </w:t>
            </w:r>
          </w:p>
          <w:p w14:paraId="6D48AC81" w14:textId="77777777" w:rsidR="006565F4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  <w:p w14:paraId="180EBBF0" w14:textId="77777777" w:rsidR="006565F4" w:rsidRPr="007E2672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 proposing changes to vocabulary, grammar and punctuation to enhance effects </w:t>
            </w:r>
          </w:p>
          <w:p w14:paraId="084CAF65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and clarify meaning </w:t>
            </w:r>
          </w:p>
          <w:p w14:paraId="00F17AEE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B05A9A4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 ensuring correct subject and verb agreement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when using singular and plural</w:t>
            </w:r>
          </w:p>
          <w:p w14:paraId="3349E6BA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73" w:type="dxa"/>
          </w:tcPr>
          <w:p w14:paraId="35252CF6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Focus on self and peer-marking to improve evaluating and editing skills</w:t>
            </w:r>
          </w:p>
          <w:p w14:paraId="6E3AA677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B111FE9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selecting appropriate grammar and vocabulary, understanding how such </w:t>
            </w:r>
          </w:p>
          <w:p w14:paraId="3B021113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choices can change and enhance meaning </w:t>
            </w:r>
          </w:p>
          <w:p w14:paraId="5955E12A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EABEB3D" w14:textId="77777777" w:rsidR="006565F4" w:rsidRPr="00450E4C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performing </w:t>
            </w:r>
            <w:r w:rsidRPr="00450E4C">
              <w:rPr>
                <w:rFonts w:ascii="Twinkl" w:hAnsi="Twinkl"/>
                <w:sz w:val="14"/>
                <w:szCs w:val="14"/>
                <w:lang w:val="en-US"/>
              </w:rPr>
              <w:t xml:space="preserve">own compositions, using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appropriate intonation, volume</w:t>
            </w:r>
          </w:p>
          <w:p w14:paraId="346C5AFA" w14:textId="77777777" w:rsidR="006565F4" w:rsidRPr="001074F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BEAFE2A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12566D4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5 curriculum</w:t>
            </w:r>
          </w:p>
        </w:tc>
      </w:tr>
      <w:tr w:rsidR="008B513F" w:rsidRPr="00ED3359" w14:paraId="3D1D1293" w14:textId="77777777" w:rsidTr="00294E36">
        <w:trPr>
          <w:trHeight w:val="1585"/>
        </w:trPr>
        <w:tc>
          <w:tcPr>
            <w:tcW w:w="1315" w:type="dxa"/>
            <w:vMerge/>
          </w:tcPr>
          <w:p w14:paraId="734084BB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1" w:type="dxa"/>
          </w:tcPr>
          <w:p w14:paraId="0D30FF89" w14:textId="77777777" w:rsidR="006565F4" w:rsidRPr="00ED3359" w:rsidRDefault="006565F4" w:rsidP="00294E36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(Vocabulary, grammar and punctuation )</w:t>
            </w:r>
          </w:p>
        </w:tc>
        <w:tc>
          <w:tcPr>
            <w:tcW w:w="2031" w:type="dxa"/>
          </w:tcPr>
          <w:p w14:paraId="2BC7D927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Revision of work done in previous years</w:t>
            </w:r>
          </w:p>
          <w:p w14:paraId="2CE2715B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06236EC7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82773">
              <w:rPr>
                <w:rFonts w:ascii="Twinkl" w:hAnsi="Twinkl"/>
                <w:sz w:val="14"/>
                <w:szCs w:val="14"/>
                <w:lang w:val="en-US"/>
              </w:rPr>
              <w:t xml:space="preserve">extending the range of sentences with more than one clause by using a wider range of conjunctions, including when, if, because, although </w:t>
            </w:r>
          </w:p>
          <w:p w14:paraId="185D7D0C" w14:textId="77777777" w:rsidR="006565F4" w:rsidRPr="00E82773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592E40A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82773">
              <w:rPr>
                <w:rFonts w:ascii="Twinkl" w:hAnsi="Twinkl"/>
                <w:sz w:val="14"/>
                <w:szCs w:val="14"/>
                <w:lang w:val="en-US"/>
              </w:rPr>
              <w:t>using the present perfect form of verbs in contrast to the past tense</w:t>
            </w:r>
          </w:p>
          <w:p w14:paraId="7F4333B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022E1E5" w14:textId="77777777" w:rsidR="006565F4" w:rsidRPr="00776C60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hyphens</w:t>
            </w:r>
          </w:p>
        </w:tc>
        <w:tc>
          <w:tcPr>
            <w:tcW w:w="2009" w:type="dxa"/>
          </w:tcPr>
          <w:p w14:paraId="6540EAE0" w14:textId="77777777" w:rsidR="006565F4" w:rsidRPr="0031062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10621">
              <w:rPr>
                <w:rFonts w:ascii="Twinkl" w:hAnsi="Twinkl"/>
                <w:sz w:val="14"/>
                <w:szCs w:val="14"/>
                <w:lang w:val="en-US"/>
              </w:rPr>
              <w:t xml:space="preserve">choosing nouns or pronouns appropriately for clarity and cohesion and to avoid </w:t>
            </w:r>
          </w:p>
          <w:p w14:paraId="067F87AB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10621">
              <w:rPr>
                <w:rFonts w:ascii="Twinkl" w:hAnsi="Twinkl"/>
                <w:sz w:val="14"/>
                <w:szCs w:val="14"/>
                <w:lang w:val="en-US"/>
              </w:rPr>
              <w:t xml:space="preserve">repetition </w:t>
            </w:r>
          </w:p>
          <w:p w14:paraId="65845B00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10621">
              <w:rPr>
                <w:rFonts w:ascii="Twinkl" w:hAnsi="Twinkl"/>
                <w:sz w:val="14"/>
                <w:szCs w:val="14"/>
                <w:lang w:val="en-US"/>
              </w:rPr>
              <w:t xml:space="preserve">using conjunctions, adverbs and prepositions to express time and cause </w:t>
            </w:r>
          </w:p>
          <w:p w14:paraId="21A3EB77" w14:textId="77777777" w:rsidR="006565F4" w:rsidRPr="0031062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88CED41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using fronted adverbials</w:t>
            </w:r>
          </w:p>
          <w:p w14:paraId="417692DB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CECB6E5" w14:textId="77777777" w:rsidR="006565F4" w:rsidRPr="003768C7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768C7">
              <w:rPr>
                <w:rFonts w:ascii="Twinkl" w:hAnsi="Twinkl"/>
                <w:sz w:val="14"/>
                <w:szCs w:val="14"/>
                <w:lang w:val="en-US"/>
              </w:rPr>
              <w:t xml:space="preserve">using conjunctions, adverbs and prepositions to express time and cause </w:t>
            </w:r>
          </w:p>
          <w:p w14:paraId="20315924" w14:textId="77777777" w:rsidR="006565F4" w:rsidRPr="00776C60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</w:tc>
        <w:tc>
          <w:tcPr>
            <w:tcW w:w="2009" w:type="dxa"/>
          </w:tcPr>
          <w:p w14:paraId="20358DED" w14:textId="77777777" w:rsidR="006565F4" w:rsidRPr="005A5FD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 xml:space="preserve">using commas to clarify meaning or avoid ambiguity in writing </w:t>
            </w:r>
          </w:p>
          <w:p w14:paraId="41927A64" w14:textId="77777777" w:rsidR="006565F4" w:rsidRPr="005A5FD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 xml:space="preserve">using brackets, dashes or commas to indicate parenthesis using semi-colons, colons or dashes to mark boundaries between independent </w:t>
            </w:r>
          </w:p>
          <w:p w14:paraId="2B6E1822" w14:textId="77777777" w:rsidR="006565F4" w:rsidRPr="005A5FD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 xml:space="preserve">clauses </w:t>
            </w:r>
          </w:p>
          <w:p w14:paraId="39A0A6F8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>using a colon to introduce a list</w:t>
            </w:r>
          </w:p>
          <w:p w14:paraId="63325108" w14:textId="77777777" w:rsidR="006565F4" w:rsidRPr="005A5FD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1C5B910D" w14:textId="77777777" w:rsidR="006565F4" w:rsidRPr="005A5FD1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A5FD1">
              <w:rPr>
                <w:rFonts w:ascii="Twinkl" w:hAnsi="Twinkl"/>
                <w:sz w:val="14"/>
                <w:szCs w:val="14"/>
                <w:lang w:val="en-US"/>
              </w:rPr>
              <w:t xml:space="preserve">punctuating bullet points consistently </w:t>
            </w:r>
          </w:p>
          <w:p w14:paraId="7FD85DD6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73" w:type="dxa"/>
          </w:tcPr>
          <w:p w14:paraId="2A94CAD6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C235C">
              <w:rPr>
                <w:rFonts w:ascii="Twinkl" w:hAnsi="Twinkl"/>
                <w:sz w:val="14"/>
                <w:szCs w:val="14"/>
                <w:lang w:val="en-US"/>
              </w:rPr>
              <w:t xml:space="preserve">perfect form of verbs to mark relationships of time and cause </w:t>
            </w:r>
          </w:p>
          <w:p w14:paraId="29364365" w14:textId="77777777" w:rsidR="006565F4" w:rsidRPr="009C235C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1C43064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C235C">
              <w:rPr>
                <w:rFonts w:ascii="Twinkl" w:hAnsi="Twinkl"/>
                <w:sz w:val="14"/>
                <w:szCs w:val="14"/>
                <w:lang w:val="en-US"/>
              </w:rPr>
              <w:t xml:space="preserve">using expanded noun phrases to convey complicated information concisely </w:t>
            </w:r>
          </w:p>
          <w:p w14:paraId="7E8136BA" w14:textId="77777777" w:rsidR="006565F4" w:rsidRPr="009C235C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E1D8BEF" w14:textId="77777777" w:rsidR="006565F4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C235C">
              <w:rPr>
                <w:rFonts w:ascii="Twinkl" w:hAnsi="Twinkl"/>
                <w:sz w:val="14"/>
                <w:szCs w:val="14"/>
                <w:lang w:val="en-US"/>
              </w:rPr>
              <w:t xml:space="preserve">using modal verbs or adverbs to indicate degrees of possibility </w:t>
            </w:r>
          </w:p>
          <w:p w14:paraId="0E8E2E2A" w14:textId="77777777" w:rsidR="006565F4" w:rsidRPr="009C235C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F8DA8AB" w14:textId="77777777" w:rsidR="006565F4" w:rsidRPr="009C235C" w:rsidRDefault="006565F4" w:rsidP="00294E36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C235C">
              <w:rPr>
                <w:rFonts w:ascii="Twinkl" w:hAnsi="Twinkl"/>
                <w:sz w:val="14"/>
                <w:szCs w:val="14"/>
                <w:lang w:val="en-US"/>
              </w:rPr>
              <w:t xml:space="preserve">using relative clauses </w:t>
            </w:r>
          </w:p>
          <w:p w14:paraId="788C96C9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481A829" w14:textId="77777777" w:rsidR="006565F4" w:rsidRPr="00ED3359" w:rsidRDefault="006565F4" w:rsidP="00294E36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5 curriculum and grammar from English Appendix 2 in NC document.</w:t>
            </w:r>
          </w:p>
        </w:tc>
      </w:tr>
    </w:tbl>
    <w:p w14:paraId="1F5E578A" w14:textId="77777777" w:rsidR="003125C9" w:rsidRDefault="003125C9"/>
    <w:sectPr w:rsidR="003125C9" w:rsidSect="006565F4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83B4" w14:textId="77777777" w:rsidR="00ED07AF" w:rsidRDefault="00ED07AF" w:rsidP="000A264C">
      <w:r>
        <w:separator/>
      </w:r>
    </w:p>
  </w:endnote>
  <w:endnote w:type="continuationSeparator" w:id="0">
    <w:p w14:paraId="33AD35A4" w14:textId="77777777" w:rsidR="00ED07AF" w:rsidRDefault="00ED07AF" w:rsidP="000A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3522" w14:textId="77777777" w:rsidR="00ED07AF" w:rsidRDefault="00ED07AF" w:rsidP="000A264C">
      <w:r>
        <w:separator/>
      </w:r>
    </w:p>
  </w:footnote>
  <w:footnote w:type="continuationSeparator" w:id="0">
    <w:p w14:paraId="787D079A" w14:textId="77777777" w:rsidR="00ED07AF" w:rsidRDefault="00ED07AF" w:rsidP="000A2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2883" w14:textId="70495224" w:rsidR="000A264C" w:rsidRPr="00ED3359" w:rsidRDefault="007C6E20" w:rsidP="000A264C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0A264C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0F39E83C" w14:textId="2346AFD0" w:rsidR="000A264C" w:rsidRPr="00ED3359" w:rsidRDefault="000A264C" w:rsidP="000A264C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 Year 5</w:t>
    </w:r>
  </w:p>
  <w:p w14:paraId="2FDF3D12" w14:textId="77777777" w:rsidR="000A264C" w:rsidRDefault="000A2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F4"/>
    <w:rsid w:val="000373A4"/>
    <w:rsid w:val="000A264C"/>
    <w:rsid w:val="003125C9"/>
    <w:rsid w:val="003C4A6B"/>
    <w:rsid w:val="00450552"/>
    <w:rsid w:val="00561DC1"/>
    <w:rsid w:val="00580FD4"/>
    <w:rsid w:val="006565F4"/>
    <w:rsid w:val="00686C29"/>
    <w:rsid w:val="007C6E20"/>
    <w:rsid w:val="008B513F"/>
    <w:rsid w:val="00A60AF8"/>
    <w:rsid w:val="00E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4CF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F4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5F4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64C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2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64C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5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555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9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84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706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1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870</Words>
  <Characters>4965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2021-09-17T15:20:00Z</dcterms:created>
  <dcterms:modified xsi:type="dcterms:W3CDTF">2021-09-21T13:42:00Z</dcterms:modified>
</cp:coreProperties>
</file>